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 w:val="0"/>
          <w:i w:val="0"/>
        </w:rPr>
        <w:t>Заполненный условный пример: зачёт части «Баскетбол», 5 класс</w:t>
      </w:r>
    </w:p>
    <w:p>
      <w:r>
        <w:rPr>
          <w:b w:val="0"/>
          <w:i w:val="0"/>
        </w:rPr>
        <w:t>Все данные вымышлены: ученик, организации, даты и сценарий условные, реквизиты школьных актов не приводятся. Пример показывает, как заполняют форму сопоставления. Он не полный ИУП, не приказ и не утверждённая форма.</w:t>
      </w:r>
    </w:p>
    <w:p>
      <w:r>
        <w:rPr>
          <w:b w:val="0"/>
          <w:i w:val="0"/>
        </w:rPr>
        <w:t xml:space="preserve">Условия примера (частный вариант): в рабочей программе школы есть раздел, который так и называется «Баскетбол» (5 класс, 2-я четверть), по нему промежуточная аттестация предусмотрена учебным планом и порядком школы (ч. 1 ст. 58 Закона № 273-ФЗ), а программа раскрывает его результаты. Совпадение названия с секцией для зачёта не обязательно: если в вашей школе те же результаты входят в модуль «Спортивные игры» или раздел называется иначе, определяют эту часть и сопоставляют её результаты так же. Пример не проверка одинаковых названий. Если подходящей части в программе нет вовсе, зачёт по ней невозможен, и в решении объясняют, что именно не соответствует. Сопоставлены все результаты раздела; в таблице показаны четыре строки как фрагмент подробного сопоставления, а не как обязательный школьный перечень (формулировки </w:t>
      </w:r>
      <w:hyperlink r:id="rId10">
        <w:r>
          <w:rPr>
            <w:color w:val="28577A"/>
            <w:u w:val="single"/>
          </w:rPr>
          <w:t>федеральной рабочей программы</w:t>
        </w:r>
      </w:hyperlink>
      <w:r>
        <w:rPr>
          <w:b w:val="0"/>
          <w:i w:val="0"/>
        </w:rPr>
        <w:t xml:space="preserve"> даны лишь как ориентир). Зачёт одной части не означает зачёта всего раздела «Спортивные игры» или всего предмета.</w:t>
      </w:r>
    </w:p>
    <w:p>
      <w:pPr>
        <w:pStyle w:val="Heading1"/>
      </w:pPr>
      <w:r>
        <w:rPr>
          <w:b w:val="0"/>
          <w:i w:val="0"/>
        </w:rPr>
        <w:t>1. Реквизиты и проверка учебного плана</w:t>
      </w:r>
    </w:p>
    <w:tbl>
      <w:tblPr>
        <w:tblStyle w:val="TableGrid"/>
        <w:tblW w:type="dxa" w:w="14287"/>
        <w:tblLayout w:type="fixed"/>
        <w:tblLook w:firstColumn="1" w:firstRow="1" w:lastColumn="0" w:lastRow="0" w:noHBand="0" w:noVBand="1" w:val="04A0"/>
      </w:tblPr>
      <w:tblGrid>
        <w:gridCol w:w="4422"/>
        <w:gridCol w:w="9865"/>
      </w:tblGrid>
      <w:tr>
        <w:trPr>
          <w:cantSplit/>
          <w:tblHeader/>
        </w:trPr>
        <w:tc>
          <w:tcPr>
            <w:tcW w:type="dxa" w:w="4422"/>
            <w:shd w:fill="E8EEF2"/>
          </w:tcPr>
          <w:p>
            <w:pPr>
              <w:spacing w:after="50" w:before="50" w:line="252" w:lineRule="auto"/>
            </w:pPr>
            <w:r>
              <w:rPr>
                <w:b/>
                <w:sz w:val="22"/>
              </w:rPr>
              <w:t>Что записать</w:t>
            </w:r>
          </w:p>
        </w:tc>
        <w:tc>
          <w:tcPr>
            <w:tcW w:type="dxa" w:w="9865"/>
            <w:shd w:fill="E8EEF2"/>
          </w:tcPr>
          <w:p>
            <w:pPr>
              <w:spacing w:after="50" w:before="50" w:line="252" w:lineRule="auto"/>
            </w:pPr>
            <w:r>
              <w:rPr>
                <w:b/>
                <w:sz w:val="22"/>
              </w:rPr>
              <w:t>Запись</w:t>
            </w:r>
          </w:p>
        </w:tc>
      </w:tr>
      <w:tr>
        <w:trPr>
          <w:cantSplit/>
        </w:trPr>
        <w:tc>
          <w:tcPr>
            <w:tcW w:type="dxa" w:w="4422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Заявление</w:t>
            </w:r>
          </w:p>
        </w:tc>
        <w:tc>
          <w:tcPr>
            <w:tcW w:type="dxa" w:w="9865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12.10.2026, подал родитель, на бумаге</w:t>
            </w:r>
          </w:p>
        </w:tc>
      </w:tr>
      <w:tr>
        <w:trPr>
          <w:cantSplit/>
        </w:trPr>
        <w:tc>
          <w:tcPr>
            <w:tcW w:type="dxa" w:w="4422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Обучающийся</w:t>
            </w:r>
          </w:p>
        </w:tc>
        <w:tc>
          <w:tcPr>
            <w:tcW w:type="dxa" w:w="9865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ученик Н., 5 класс, 2026/27 учебный год</w:t>
            </w:r>
          </w:p>
        </w:tc>
      </w:tr>
      <w:tr>
        <w:trPr>
          <w:cantSplit/>
        </w:trPr>
        <w:tc>
          <w:tcPr>
            <w:tcW w:type="dxa" w:w="4422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Документ о пройденном обучении</w:t>
            </w:r>
          </w:p>
        </w:tc>
        <w:tc>
          <w:tcPr>
            <w:tcW w:type="dxa" w:w="9865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справка об обучении; период 01.09.2025–31.05.2026, два занятия в неделю по 60 минут; выписку из программы родитель приложил по собственной инициативе</w:t>
            </w:r>
          </w:p>
        </w:tc>
      </w:tr>
      <w:tr>
        <w:trPr>
          <w:cantSplit/>
        </w:trPr>
        <w:tc>
          <w:tcPr>
            <w:tcW w:type="dxa" w:w="4422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Организация и программа секции</w:t>
            </w:r>
          </w:p>
        </w:tc>
        <w:tc>
          <w:tcPr>
            <w:tcW w:type="dxa" w:w="9865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условная спортивная организация; дополнительная общеразвивающая программа «Баскетбол: первый год», один учебный год; основание образовательной деятельности школа проверила сама до решения</w:t>
            </w:r>
          </w:p>
        </w:tc>
      </w:tr>
      <w:tr>
        <w:trPr>
          <w:cantSplit/>
        </w:trPr>
        <w:tc>
          <w:tcPr>
            <w:tcW w:type="dxa" w:w="4422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Заявленная часть школьной программы</w:t>
            </w:r>
          </w:p>
        </w:tc>
        <w:tc>
          <w:tcPr>
            <w:tcW w:type="dxa" w:w="9865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физическая культура, 5 класс, раздел «Баскетбол», 2-я четверть</w:t>
            </w:r>
          </w:p>
        </w:tc>
      </w:tr>
      <w:tr>
        <w:trPr>
          <w:cantSplit/>
        </w:trPr>
        <w:tc>
          <w:tcPr>
            <w:tcW w:type="dxa" w:w="4422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Аттестуемая часть</w:t>
            </w:r>
          </w:p>
        </w:tc>
        <w:tc>
          <w:tcPr>
            <w:tcW w:type="dxa" w:w="9865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да: по разделу «Баскетбол» учебный план и рабочая программа предусматривают промежуточную аттестацию, результаты раздела раскрыты (условие примера)</w:t>
            </w:r>
          </w:p>
        </w:tc>
      </w:tr>
    </w:tbl>
    <w:p>
      <w:pPr>
        <w:pStyle w:val="Heading1"/>
        <w:pageBreakBefore/>
      </w:pPr>
      <w:r>
        <w:rPr>
          <w:b w:val="0"/>
          <w:i w:val="0"/>
        </w:rPr>
        <w:t>2. Сопоставление результатов (рекомендация сопоставляющего)</w:t>
      </w:r>
    </w:p>
    <w:p>
      <w:r>
        <w:rPr>
          <w:b w:val="0"/>
          <w:i w:val="0"/>
        </w:rPr>
        <w:t>Показан фрагмент. По остальным результатам раздела сопоставление оформлено так же, условно с выводом «соответствует».</w:t>
      </w:r>
    </w:p>
    <w:tbl>
      <w:tblPr>
        <w:tblStyle w:val="TableGrid"/>
        <w:tblW w:type="dxa" w:w="14287"/>
        <w:tblLayout w:type="fixed"/>
        <w:tblLook w:firstColumn="1" w:firstRow="1" w:lastColumn="0" w:lastRow="0" w:noHBand="0" w:noVBand="1" w:val="04A0"/>
      </w:tblPr>
      <w:tblGrid>
        <w:gridCol w:w="3628"/>
        <w:gridCol w:w="4025"/>
        <w:gridCol w:w="3061"/>
        <w:gridCol w:w="3572"/>
      </w:tblGrid>
      <w:tr>
        <w:trPr>
          <w:cantSplit/>
          <w:tblHeader/>
        </w:trPr>
        <w:tc>
          <w:tcPr>
            <w:tcW w:type="dxa" w:w="3628"/>
            <w:shd w:fill="E8EEF2"/>
          </w:tcPr>
          <w:p>
            <w:pPr>
              <w:spacing w:after="50" w:before="50" w:line="252" w:lineRule="auto"/>
            </w:pPr>
            <w:r>
              <w:rPr>
                <w:b/>
                <w:sz w:val="22"/>
              </w:rPr>
              <w:t>Планируемый результат школьной программы</w:t>
            </w:r>
          </w:p>
        </w:tc>
        <w:tc>
          <w:tcPr>
            <w:tcW w:type="dxa" w:w="4025"/>
            <w:shd w:fill="E8EEF2"/>
          </w:tcPr>
          <w:p>
            <w:pPr>
              <w:spacing w:after="50" w:before="50" w:line="252" w:lineRule="auto"/>
            </w:pPr>
            <w:r>
              <w:rPr>
                <w:b/>
                <w:sz w:val="22"/>
              </w:rPr>
              <w:t>Что подтверждают документы ребёнка</w:t>
            </w:r>
          </w:p>
        </w:tc>
        <w:tc>
          <w:tcPr>
            <w:tcW w:type="dxa" w:w="3061"/>
            <w:shd w:fill="E8EEF2"/>
          </w:tcPr>
          <w:p>
            <w:pPr>
              <w:spacing w:after="50" w:before="50" w:line="252" w:lineRule="auto"/>
            </w:pPr>
            <w:r>
              <w:rPr>
                <w:b/>
                <w:sz w:val="22"/>
              </w:rPr>
              <w:t>Вывод</w:t>
            </w:r>
          </w:p>
        </w:tc>
        <w:tc>
          <w:tcPr>
            <w:tcW w:type="dxa" w:w="3572"/>
            <w:shd w:fill="E8EEF2"/>
          </w:tcPr>
          <w:p>
            <w:pPr>
              <w:spacing w:after="50" w:before="50" w:line="252" w:lineRule="auto"/>
            </w:pPr>
            <w:r>
              <w:rPr>
                <w:b/>
                <w:sz w:val="22"/>
              </w:rPr>
              <w:t>Следующий шаг</w:t>
            </w:r>
          </w:p>
        </w:tc>
      </w:tr>
      <w:tr>
        <w:trPr>
          <w:cantSplit/>
        </w:trPr>
        <w:tc>
          <w:tcPr>
            <w:tcW w:type="dxa" w:w="3628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1. Передачи мяча двумя руками от груди на месте и в движении</w:t>
            </w:r>
          </w:p>
        </w:tc>
        <w:tc>
          <w:tcPr>
            <w:tcW w:type="dxa" w:w="4025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Справка: освоение отмечено; выписка, раздел 2</w:t>
            </w:r>
          </w:p>
        </w:tc>
        <w:tc>
          <w:tcPr>
            <w:tcW w:type="dxa" w:w="3061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Соответствует</w:t>
            </w:r>
          </w:p>
        </w:tc>
        <w:tc>
          <w:tcPr>
            <w:tcW w:type="dxa" w:w="3572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Засчитать</w:t>
            </w:r>
          </w:p>
        </w:tc>
      </w:tr>
      <w:tr>
        <w:trPr>
          <w:cantSplit/>
        </w:trPr>
        <w:tc>
          <w:tcPr>
            <w:tcW w:type="dxa" w:w="3628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2. Ведение мяча на месте, по прямой, по кругу, «змейкой»</w:t>
            </w:r>
          </w:p>
        </w:tc>
        <w:tc>
          <w:tcPr>
            <w:tcW w:type="dxa" w:w="4025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Справка: освоение отмечено; выписка, раздел 3</w:t>
            </w:r>
          </w:p>
        </w:tc>
        <w:tc>
          <w:tcPr>
            <w:tcW w:type="dxa" w:w="3061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Соответствует</w:t>
            </w:r>
          </w:p>
        </w:tc>
        <w:tc>
          <w:tcPr>
            <w:tcW w:type="dxa" w:w="3572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Засчитать</w:t>
            </w:r>
          </w:p>
        </w:tc>
      </w:tr>
      <w:tr>
        <w:trPr>
          <w:cantSplit/>
        </w:trPr>
        <w:tc>
          <w:tcPr>
            <w:tcW w:type="dxa" w:w="3628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3. Бросок мяча двумя руками от груди с места</w:t>
            </w:r>
          </w:p>
        </w:tc>
        <w:tc>
          <w:tcPr>
            <w:tcW w:type="dxa" w:w="4025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В выписке указан «бросок по кольцу» без способа выполнения</w:t>
            </w:r>
          </w:p>
        </w:tc>
        <w:tc>
          <w:tcPr>
            <w:tcW w:type="dxa" w:w="3061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Сведений недостаточно</w:t>
            </w:r>
          </w:p>
        </w:tc>
        <w:tc>
          <w:tcPr>
            <w:tcW w:type="dxa" w:w="3572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Оценивание по акту (раздел 3)</w:t>
            </w:r>
          </w:p>
        </w:tc>
      </w:tr>
      <w:tr>
        <w:trPr>
          <w:cantSplit/>
        </w:trPr>
        <w:tc>
          <w:tcPr>
            <w:tcW w:type="dxa" w:w="3628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4. Правила безопасности при игровых упражнениях</w:t>
            </w:r>
          </w:p>
        </w:tc>
        <w:tc>
          <w:tcPr>
            <w:tcW w:type="dxa" w:w="4025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В выписке перечислены правила поведения в зале и при игре; освоение их ребёнком в справке не отмечено</w:t>
            </w:r>
          </w:p>
        </w:tc>
        <w:tc>
          <w:tcPr>
            <w:tcW w:type="dxa" w:w="3061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Сведений недостаточно</w:t>
            </w:r>
          </w:p>
        </w:tc>
        <w:tc>
          <w:tcPr>
            <w:tcW w:type="dxa" w:w="3572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Оценивание по акту (раздел 3)</w:t>
            </w:r>
          </w:p>
        </w:tc>
      </w:tr>
    </w:tbl>
    <w:p>
      <w:r>
        <w:rPr>
          <w:b w:val="0"/>
          <w:i w:val="0"/>
        </w:rPr>
        <w:t>Другие части предмета (остальные игры, гимнастика, лёгкая атлетика, знания о физической культуре) к зачёту не заявлены и остаются в обучении.</w:t>
      </w:r>
    </w:p>
    <w:p>
      <w:pPr>
        <w:pStyle w:val="Heading1"/>
      </w:pPr>
      <w:r>
        <w:rPr>
          <w:b w:val="0"/>
          <w:i w:val="0"/>
        </w:rPr>
        <w:t>3. Оценивание</w:t>
      </w:r>
    </w:p>
    <w:p>
      <w:r>
        <w:rPr>
          <w:b w:val="0"/>
          <w:i w:val="0"/>
        </w:rPr>
        <w:t>О необходимости оценивания семье условно сообщено письменно 13.10.2026 (в модельном Положении о зачёте это промежуточное уведомление, вариант Б приложения № 4, в течение 2 рабочих дней со дня регистрации заявления). Оценивание назначено по строкам 3 и 4: показ бросков на уроке и краткий опрос по правилам безопасности при игровых упражнениях в присутствии учителя физкультуры (форма по акту). Условие сценария: допуск к выбранным упражнениям есть, ограничений нет; при ограничениях упражнения подбирали бы с их учётом. Реальные медицинские документы не рассматривались. Проведено 15.10.2026: бросок выполнен технически верно, правила названы и применены правильно, результаты по обеим строкам подтверждены.</w:t>
      </w:r>
    </w:p>
    <w:p>
      <w:pPr>
        <w:pStyle w:val="Heading1"/>
        <w:pageBreakBefore/>
      </w:pPr>
      <w:r>
        <w:rPr>
          <w:b w:val="0"/>
          <w:i w:val="0"/>
        </w:rPr>
        <w:t>4. Решение школы</w:t>
      </w:r>
    </w:p>
    <w:p>
      <w:r>
        <w:rPr>
          <w:b w:val="0"/>
          <w:i w:val="0"/>
        </w:rPr>
        <w:t>☒ Зачесть: раздел «Баскетбол», 5 класс, 2-я четверть (промежуточная аттестация по нему предусмотрена учебным планом и рабочей программой; условие примера). По разделу сопоставлены все результаты. В остальном: остальные части рабочей программы 5 класса остаются в обучении; по заявленной части отказа нет.</w:t>
      </w:r>
    </w:p>
    <w:p>
      <w:r>
        <w:rPr>
          <w:b w:val="0"/>
          <w:i w:val="0"/>
        </w:rPr>
        <w:t>☐ Отказ полностью.</w:t>
      </w:r>
    </w:p>
    <w:tbl>
      <w:tblPr>
        <w:tblStyle w:val="TableGrid"/>
        <w:tblW w:type="dxa" w:w="14287"/>
        <w:tblLayout w:type="fixed"/>
        <w:tblLook w:firstColumn="1" w:firstRow="1" w:lastColumn="0" w:lastRow="0" w:noHBand="0" w:noVBand="1" w:val="04A0"/>
      </w:tblPr>
      <w:tblGrid>
        <w:gridCol w:w="4762"/>
        <w:gridCol w:w="4762"/>
        <w:gridCol w:w="4762"/>
      </w:tblGrid>
      <w:tr>
        <w:trPr>
          <w:cantSplit/>
          <w:tblHeader/>
        </w:trPr>
        <w:tc>
          <w:tcPr>
            <w:tcW w:type="dxa" w:w="4762"/>
            <w:shd w:fill="E8EEF2"/>
          </w:tcPr>
          <w:p>
            <w:pPr>
              <w:spacing w:after="50" w:before="50" w:line="252" w:lineRule="auto"/>
            </w:pPr>
            <w:r>
              <w:rPr>
                <w:b/>
                <w:sz w:val="22"/>
              </w:rPr>
              <w:t>Засчитываемая часть</w:t>
            </w:r>
          </w:p>
        </w:tc>
        <w:tc>
          <w:tcPr>
            <w:tcW w:type="dxa" w:w="4762"/>
            <w:shd w:fill="E8EEF2"/>
          </w:tcPr>
          <w:p>
            <w:pPr>
              <w:spacing w:after="50" w:before="50" w:line="252" w:lineRule="auto"/>
            </w:pPr>
            <w:r>
              <w:rPr>
                <w:b/>
                <w:sz w:val="22"/>
              </w:rPr>
              <w:t>Где предусмотрена промежуточная аттестация</w:t>
            </w:r>
          </w:p>
        </w:tc>
        <w:tc>
          <w:tcPr>
            <w:tcW w:type="dxa" w:w="4762"/>
            <w:shd w:fill="E8EEF2"/>
          </w:tcPr>
          <w:p>
            <w:pPr>
              <w:spacing w:after="50" w:before="50" w:line="252" w:lineRule="auto"/>
            </w:pPr>
            <w:r>
              <w:rPr>
                <w:b/>
                <w:sz w:val="22"/>
              </w:rPr>
              <w:t>Сопоставлены все результаты части</w:t>
            </w:r>
          </w:p>
        </w:tc>
      </w:tr>
      <w:tr>
        <w:trPr>
          <w:cantSplit/>
        </w:trPr>
        <w:tc>
          <w:tcPr>
            <w:tcW w:type="dxa" w:w="4762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Раздел «Баскетбол», 5 класс, 2-я четверть</w:t>
            </w:r>
          </w:p>
        </w:tc>
        <w:tc>
          <w:tcPr>
            <w:tcW w:type="dxa" w:w="4762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рабочая программа 5 класса и учебный план (условно)</w:t>
            </w:r>
          </w:p>
        </w:tc>
        <w:tc>
          <w:tcPr>
            <w:tcW w:type="dxa" w:w="4762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да</w:t>
            </w:r>
          </w:p>
        </w:tc>
      </w:tr>
    </w:tbl>
    <w:tbl>
      <w:tblPr>
        <w:tblStyle w:val="TableGrid"/>
        <w:tblW w:type="dxa" w:w="14287"/>
        <w:tblLayout w:type="fixed"/>
        <w:tblLook w:firstColumn="1" w:firstRow="1" w:lastColumn="0" w:lastRow="0" w:noHBand="0" w:noVBand="1" w:val="04A0"/>
      </w:tblPr>
      <w:tblGrid>
        <w:gridCol w:w="4422"/>
        <w:gridCol w:w="9865"/>
      </w:tblGrid>
      <w:tr>
        <w:trPr>
          <w:cantSplit/>
          <w:tblHeader/>
        </w:trPr>
        <w:tc>
          <w:tcPr>
            <w:tcW w:type="dxa" w:w="4422"/>
            <w:shd w:fill="E8EEF2"/>
          </w:tcPr>
          <w:p>
            <w:pPr>
              <w:spacing w:after="50" w:before="50" w:line="252" w:lineRule="auto"/>
            </w:pPr>
            <w:r>
              <w:rPr>
                <w:b/>
                <w:sz w:val="22"/>
              </w:rPr>
              <w:t>Что записать</w:t>
            </w:r>
          </w:p>
        </w:tc>
        <w:tc>
          <w:tcPr>
            <w:tcW w:type="dxa" w:w="9865"/>
            <w:shd w:fill="E8EEF2"/>
          </w:tcPr>
          <w:p>
            <w:pPr>
              <w:spacing w:after="50" w:before="50" w:line="252" w:lineRule="auto"/>
            </w:pPr>
            <w:r>
              <w:rPr>
                <w:b/>
                <w:sz w:val="22"/>
              </w:rPr>
              <w:t>Запись</w:t>
            </w:r>
          </w:p>
        </w:tc>
      </w:tr>
      <w:tr>
        <w:trPr>
          <w:cantSplit/>
        </w:trPr>
        <w:tc>
          <w:tcPr>
            <w:tcW w:type="dxa" w:w="4422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Форма решения и основание</w:t>
            </w:r>
          </w:p>
        </w:tc>
        <w:tc>
          <w:tcPr>
            <w:tcW w:type="dxa" w:w="9865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приказ о зачёте (в модельном Положении о зачёте — приложение № 3; при ином локальном акте форма по этому акту); основание — лист сопоставления и результаты оценивания</w:t>
            </w:r>
          </w:p>
        </w:tc>
      </w:tr>
      <w:tr>
        <w:trPr>
          <w:cantSplit/>
        </w:trPr>
        <w:tc>
          <w:tcPr>
            <w:tcW w:type="dxa" w:w="4422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Дата решения, кто принял</w:t>
            </w:r>
          </w:p>
        </w:tc>
        <w:tc>
          <w:tcPr>
            <w:tcW w:type="dxa" w:w="9865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16.10.2026, заместитель директора по УВР (условно: директор передал ему это полномочие локальным актом школы, как допускает модельное Положение о зачёте; школа вправе не делегировать, и тогда приказ подписывает директор)</w:t>
            </w:r>
          </w:p>
        </w:tc>
      </w:tr>
      <w:tr>
        <w:trPr>
          <w:cantSplit/>
        </w:trPr>
        <w:tc>
          <w:tcPr>
            <w:tcW w:type="dxa" w:w="4422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Дата и способ направления семье</w:t>
            </w:r>
          </w:p>
        </w:tc>
        <w:tc>
          <w:tcPr>
            <w:tcW w:type="dxa" w:w="9865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19.10.2026, электронная почта</w:t>
            </w:r>
          </w:p>
        </w:tc>
      </w:tr>
    </w:tbl>
    <w:p>
      <w:pPr>
        <w:pStyle w:val="Heading1"/>
        <w:pageBreakBefore/>
      </w:pPr>
      <w:r>
        <w:rPr>
          <w:b w:val="0"/>
          <w:i w:val="0"/>
        </w:rPr>
        <w:t>5. Оставшееся обучение и ИУП</w:t>
      </w:r>
    </w:p>
    <w:tbl>
      <w:tblPr>
        <w:tblStyle w:val="TableGrid"/>
        <w:tblW w:type="dxa" w:w="14287"/>
        <w:tblLayout w:type="fixed"/>
        <w:tblLook w:firstColumn="1" w:firstRow="1" w:lastColumn="0" w:lastRow="0" w:noHBand="0" w:noVBand="1" w:val="04A0"/>
      </w:tblPr>
      <w:tblGrid>
        <w:gridCol w:w="4422"/>
        <w:gridCol w:w="9865"/>
      </w:tblGrid>
      <w:tr>
        <w:trPr>
          <w:cantSplit/>
          <w:tblHeader/>
        </w:trPr>
        <w:tc>
          <w:tcPr>
            <w:tcW w:type="dxa" w:w="4422"/>
            <w:shd w:fill="E8EEF2"/>
          </w:tcPr>
          <w:p>
            <w:pPr>
              <w:spacing w:after="50" w:before="50" w:line="252" w:lineRule="auto"/>
            </w:pPr>
            <w:r>
              <w:rPr>
                <w:b/>
                <w:sz w:val="22"/>
              </w:rPr>
              <w:t>Что записать</w:t>
            </w:r>
          </w:p>
        </w:tc>
        <w:tc>
          <w:tcPr>
            <w:tcW w:type="dxa" w:w="9865"/>
            <w:shd w:fill="E8EEF2"/>
          </w:tcPr>
          <w:p>
            <w:pPr>
              <w:spacing w:after="50" w:before="50" w:line="252" w:lineRule="auto"/>
            </w:pPr>
            <w:r>
              <w:rPr>
                <w:b/>
                <w:sz w:val="22"/>
              </w:rPr>
              <w:t>Запись</w:t>
            </w:r>
          </w:p>
        </w:tc>
      </w:tr>
      <w:tr>
        <w:trPr>
          <w:cantSplit/>
        </w:trPr>
        <w:tc>
          <w:tcPr>
            <w:tcW w:type="dxa" w:w="4422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Что засчитано как промежуточная аттестация</w:t>
            </w:r>
          </w:p>
        </w:tc>
        <w:tc>
          <w:tcPr>
            <w:tcW w:type="dxa" w:w="9865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раздел «Баскетбол», 5 класс, 2-я четверть</w:t>
            </w:r>
          </w:p>
        </w:tc>
      </w:tr>
      <w:tr>
        <w:trPr>
          <w:cantSplit/>
        </w:trPr>
        <w:tc>
          <w:tcPr>
            <w:tcW w:type="dxa" w:w="4422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Что остаётся осваивать и как аттестуется</w:t>
            </w:r>
          </w:p>
        </w:tc>
        <w:tc>
          <w:tcPr>
            <w:tcW w:type="dxa" w:w="9865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остальные части рабочей программы 5 класса; аттестация по общему порядку школы</w:t>
            </w:r>
          </w:p>
        </w:tc>
      </w:tr>
      <w:tr>
        <w:trPr>
          <w:cantSplit/>
        </w:trPr>
        <w:tc>
          <w:tcPr>
            <w:tcW w:type="dxa" w:w="4422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Оформление перевода на ИУП</w:t>
            </w:r>
          </w:p>
        </w:tc>
        <w:tc>
          <w:tcPr>
            <w:tcW w:type="dxa" w:w="9865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проект ИУП направлен семье (условно 20.10.2026), на ознакомление и замечания дано 5 рабочих дней, как в модельном Положении об ИУП; ИУП введён актом по правилам школы и действует с начала 2-й четверти (условно, с 02.11.2026), то есть до начала освоения засчитанной части; ученик освобождён от её повторного изучения</w:t>
            </w:r>
          </w:p>
        </w:tc>
      </w:tr>
      <w:tr>
        <w:trPr>
          <w:cantSplit/>
        </w:trPr>
        <w:tc>
          <w:tcPr>
            <w:tcW w:type="dxa" w:w="4422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Место, занятие и наблюдение в часы засчитанной части</w:t>
            </w:r>
          </w:p>
        </w:tc>
        <w:tc>
          <w:tcPr>
            <w:tcW w:type="dxa" w:w="9865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условный вариант при обеспеченном надзоре: только в часы уроков физкультуры, отведённые разделу «Баскетбол», ученик находится в школьной библиотеке и самостоятельно читает; наблюдение ведёт работник, которому школа поручила его отдельным организационным решением в пределах его должностных обязанностей. Повторять упражнения баскетбола не требуется, самостоятельный уход с урока не предусмотрен. На все остальные уроки того же дня и на уроки физкультуры по другим частям программы ученик приходит по расписанию. Это пример, а не требование к школам</w:t>
            </w:r>
          </w:p>
        </w:tc>
      </w:tr>
      <w:tr>
        <w:trPr>
          <w:cantSplit/>
        </w:trPr>
        <w:tc>
          <w:tcPr>
            <w:tcW w:type="dxa" w:w="4422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Что сообщено семье</w:t>
            </w:r>
          </w:p>
        </w:tc>
        <w:tc>
          <w:tcPr>
            <w:tcW w:type="dxa" w:w="9865"/>
          </w:tcPr>
          <w:p>
            <w:pPr>
              <w:spacing w:after="50" w:before="50" w:line="252" w:lineRule="auto"/>
            </w:pPr>
            <w:r>
              <w:rPr>
                <w:b w:val="0"/>
                <w:sz w:val="22"/>
              </w:rPr>
              <w:t>19.10.2026, письмо: какая часть засчитана и на каких сведениях; что осваивается дальше и как аттестуется; до 02.11.2026 ученик посещает уроки по расписанию; контакт завуча по УВР</w:t>
            </w:r>
          </w:p>
        </w:tc>
      </w:tr>
    </w:tbl>
    <w:p>
      <w:r>
        <w:rPr>
          <w:b w:val="0"/>
          <w:i w:val="0"/>
        </w:rPr>
        <w:t>Иллюстративный фрагмент записи для ИУП (не документ): «Физическая культура, 5 класс. Раздел «Баскетбол» (2-я четверть) засчитан как промежуточная аттестация по этой части; ученик освобождён от её повторного изучения. Остальные части осваиваются в классе по рабочей программе».</w:t>
      </w:r>
    </w:p>
    <w:sectPr w:rsidR="00FC693F" w:rsidRPr="0006063C" w:rsidSect="00034616">
      <w:footerReference w:type="default" r:id="rId9"/>
      <w:pgSz w:w="16838" w:h="11906"/>
      <w:pgMar w:top="850" w:right="850" w:bottom="850" w:left="1701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80" w:line="259" w:lineRule="auto"/>
    </w:pPr>
    <w:rPr>
      <w:rFonts w:ascii="Liberation Sans" w:hAnsi="Liberation San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14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172A3A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14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172A3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20" w:after="140"/>
      <w:outlineLvl w:val="2"/>
    </w:pPr>
    <w:rPr>
      <w:rFonts w:asciiTheme="majorHAnsi" w:eastAsiaTheme="majorEastAsia" w:hAnsiTheme="majorHAnsi" w:cstheme="majorBidi" w:ascii="Liberation Sans" w:hAnsi="Liberation Sans"/>
      <w:b/>
      <w:bCs/>
      <w:color w:val="172A3A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40" w:line="240" w:lineRule="auto" w:before="240"/>
      <w:contextualSpacing/>
    </w:pPr>
    <w:rPr>
      <w:rFonts w:asciiTheme="majorHAnsi" w:eastAsiaTheme="majorEastAsia" w:hAnsiTheme="majorHAnsi" w:cstheme="majorBidi" w:ascii="Liberation Sans" w:hAnsi="Liberation Sans"/>
      <w:color w:val="172A3A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dsoo.ru/wp-content/uploads/2025/07/2025_ooo_frp_fizkultura-5-9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Документы директора</dc:creator>
  <cp:keywords/>
  <dc:description>generated by python-docx</dc:description>
  <cp:lastModifiedBy>Документы директора</cp:lastModifiedBy>
  <cp:revision>1</cp:revision>
  <dcterms:created xsi:type="dcterms:W3CDTF">2013-12-23T23:15:00Z</dcterms:created>
  <dcterms:modified xsi:type="dcterms:W3CDTF">2013-12-23T23:15:00Z</dcterms:modified>
  <cp:category/>
</cp:coreProperties>
</file>