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f6b41e81ce2ea00048f62958b17c6365e46c308"/>
    <w:p>
      <w:pPr>
        <w:pBdr>
          <w:bottom w:val="single" w:sz="12" w:space="6" w:color="8B1E2D"/>
        </w:pBdr>
        <w:pStyle w:val="Heading1"/>
        <w:keepNext/>
        <w:keepLines/>
      </w:pPr>
      <w:r>
        <w:t xml:space="preserve">Памятка: сроки сентября, которые чаще всего пропускают</w:t>
      </w:r>
    </w:p>
    <w:p>
      <w:pPr>
        <w:pStyle w:val="FirstParagraph"/>
      </w:pPr>
      <w:r>
        <w:t xml:space="preserve">Памятка для директора и заместителей. Пять сроков, о которых вспоминают позже, чем нужно, и один, который путают чаще остальных.</w:t>
      </w:r>
    </w:p>
    <w:bookmarkStart w:id="20" w:name="трудовой-договор-три-рабочих-дня"/>
    <w:p>
      <w:pPr>
        <w:pStyle w:val="Heading2"/>
        <w:keepNext/>
        <w:keepLines/>
      </w:pPr>
      <w:r>
        <w:t xml:space="preserve">1. Трудовой договор — три рабочих дня</w:t>
      </w:r>
    </w:p>
    <w:p>
      <w:pPr>
        <w:pStyle w:val="FirstParagraph"/>
      </w:pPr>
      <w:r>
        <w:t xml:space="preserve">Если работник фактически допущен к работе (например, вышел в конце августа, а договор ещё не подписан), работодатель обязан оформить договор в письменной форме</w:t>
      </w:r>
      <w:r>
        <w:t xml:space="preserve"> </w:t>
      </w:r>
      <w:r>
        <w:rPr>
          <w:bCs/>
          <w:b/>
        </w:rPr>
        <w:t xml:space="preserve">не позднее трёх рабочих дней со дня фактического допущения к работе</w:t>
      </w:r>
      <w:r>
        <w:t xml:space="preserve">.</w:t>
      </w:r>
    </w:p>
    <w:p>
      <w:pPr>
        <w:pStyle w:val="BodyText"/>
      </w:pPr>
      <w:r>
        <w:t xml:space="preserve">Норма: часть вторая статьи 67 Трудового кодекса Российской Федерации.</w:t>
      </w:r>
    </w:p>
    <w:p>
      <w:pPr>
        <w:pStyle w:val="BodyText"/>
      </w:pPr>
      <w:r>
        <w:t xml:space="preserve">Договор, не оформленный письменно, считается заключённым, если работник приступил к работе с ведома или по поручению работодателя. То есть отношения возникли — вопрос лишь в том, оформлены ли они правильно.</w:t>
      </w:r>
    </w:p>
    <w:p>
      <w:pPr>
        <w:pStyle w:val="BodyText"/>
      </w:pPr>
      <w:r>
        <w:rPr>
          <w:bCs/>
          <w:b/>
        </w:rPr>
        <w:t xml:space="preserve">Что проверить в сентябре:</w:t>
      </w:r>
      <w:r>
        <w:t xml:space="preserve"> </w:t>
      </w:r>
      <w:r>
        <w:t xml:space="preserve">по каждому работнику, приступившему к работе в августе, сверить дату фактического начала работы с датой договора.</w:t>
      </w:r>
    </w:p>
    <w:bookmarkEnd w:id="20"/>
    <w:bookmarkStart w:id="21" w:name="Xb3e643b4a67061fd810946077f0129f101dbc3a"/>
    <w:p>
      <w:pPr>
        <w:pStyle w:val="Heading2"/>
        <w:keepNext/>
        <w:keepLines/>
      </w:pPr>
      <w:r>
        <w:t xml:space="preserve">2. Запрос военного комиссариата — если он поступил</w:t>
      </w:r>
    </w:p>
    <w:p>
      <w:pPr>
        <w:pStyle w:val="FirstParagraph"/>
      </w:pPr>
      <w:r>
        <w:rPr>
          <w:bCs/>
          <w:b/>
        </w:rPr>
        <w:t xml:space="preserve">Запрос приходит не всегда.</w:t>
      </w:r>
      <w:r>
        <w:t xml:space="preserve"> </w:t>
      </w:r>
      <w:r>
        <w:t xml:space="preserve">Военный комиссариат направляет его только при отсутствии технической возможности получить нужные сведения в электронной форме из государственных информационных систем. Нет запроса — нет и обязанности отправлять сведения по этому основанию.</w:t>
      </w:r>
    </w:p>
    <w:p>
      <w:pPr>
        <w:pStyle w:val="BodyText"/>
      </w:pPr>
      <w:r>
        <w:t xml:space="preserve">Если запрос поступил (он направляется до 15 сентября), школа отвечает</w:t>
      </w:r>
      <w:r>
        <w:t xml:space="preserve"> </w:t>
      </w:r>
      <w:r>
        <w:rPr>
          <w:bCs/>
          <w:b/>
        </w:rPr>
        <w:t xml:space="preserve">по двум формам сразу</w:t>
      </w:r>
      <w:r>
        <w:t xml:space="preserve">: сведения по форме приложения № 6 и заполненные анкеты по форме приложения № 7. Обе формы установлены нормой — свои бланки школа не придумывает.</w:t>
      </w:r>
    </w:p>
    <w:p>
      <w:pPr>
        <w:pStyle w:val="BodyText"/>
      </w:pPr>
      <w:r>
        <w:t xml:space="preserve">Срок считается не по отправке, а по получению: военный комиссариат должен получить сведения</w:t>
      </w:r>
      <w:r>
        <w:t xml:space="preserve"> </w:t>
      </w:r>
      <w:r>
        <w:rPr>
          <w:bCs/>
          <w:b/>
        </w:rPr>
        <w:t xml:space="preserve">не позднее 1 ноября</w:t>
      </w:r>
      <w:r>
        <w:t xml:space="preserve">.</w:t>
      </w:r>
    </w:p>
    <w:p>
      <w:pPr>
        <w:pStyle w:val="BodyText"/>
      </w:pPr>
      <w:r>
        <w:t xml:space="preserve">Срок кажется дальним, поэтому запрос откладывают и вспоминают о нём в конце октября, когда собирать сведения уже некогда.</w:t>
      </w:r>
    </w:p>
    <w:p>
      <w:pPr>
        <w:pStyle w:val="BodyText"/>
      </w:pPr>
      <w:r>
        <w:rPr>
          <w:bCs/>
          <w:b/>
        </w:rPr>
        <w:t xml:space="preserve">Что сделать сразу:</w:t>
      </w:r>
      <w:r>
        <w:t xml:space="preserve"> </w:t>
      </w:r>
      <w:r>
        <w:t xml:space="preserve">зарегистрировать запрос в день поступления и назначить дату подготовки ответа на первую половину октября, а не на последнюю — с учётом времени на доставку.</w:t>
      </w:r>
    </w:p>
    <w:bookmarkEnd w:id="21"/>
    <w:bookmarkStart w:id="22" w:name="учебная-нагрузка-до-начала-учебного-года"/>
    <w:p>
      <w:pPr>
        <w:pStyle w:val="Heading2"/>
        <w:keepNext/>
        <w:keepLines/>
      </w:pPr>
      <w:r>
        <w:t xml:space="preserve">3. Учебная нагрузка — до начала учебного года</w:t>
      </w:r>
    </w:p>
    <w:p>
      <w:pPr>
        <w:pStyle w:val="FirstParagraph"/>
      </w:pPr>
      <w:r>
        <w:t xml:space="preserve">Учебная нагрузка педагогов устанавливается локальным нормативным актом и отражается в трудовых договорах. Изменение нагрузки в течение года допускается только по основаниям, установленным законом.</w:t>
      </w:r>
    </w:p>
    <w:p>
      <w:pPr>
        <w:pStyle w:val="BodyText"/>
      </w:pPr>
      <w:r>
        <w:rPr>
          <w:bCs/>
          <w:b/>
        </w:rPr>
        <w:t xml:space="preserve">Ловушка:</w:t>
      </w:r>
      <w:r>
        <w:t xml:space="preserve"> </w:t>
      </w:r>
      <w:r>
        <w:t xml:space="preserve">нагрузка «уточнилась» в сентябре после комплектования классов, а дополнительные соглашения не оформили. Формально нагрузка осталась прежней.</w:t>
      </w:r>
    </w:p>
    <w:bookmarkEnd w:id="22"/>
    <w:bookmarkStart w:id="23" w:name="Xd6d122ca3083f66c627e26094c9745cc13cae55"/>
    <w:p>
      <w:pPr>
        <w:pStyle w:val="Heading2"/>
        <w:keepNext/>
        <w:keepLines/>
      </w:pPr>
      <w:r>
        <w:t xml:space="preserve">4. Первичный инструктаж — до начала самостоятельной работы</w:t>
      </w:r>
    </w:p>
    <w:p>
      <w:pPr>
        <w:pStyle w:val="FirstParagraph"/>
      </w:pPr>
      <w:r>
        <w:t xml:space="preserve">Первичный инструктаж по охране труда проводится</w:t>
      </w:r>
      <w:r>
        <w:t xml:space="preserve"> </w:t>
      </w:r>
      <w:r>
        <w:rPr>
          <w:bCs/>
          <w:b/>
        </w:rPr>
        <w:t xml:space="preserve">на рабочем месте, до начала самостоятельной работы</w:t>
      </w:r>
      <w:r>
        <w:t xml:space="preserve"> </w:t>
      </w:r>
      <w:r>
        <w:t xml:space="preserve">— с работниками, не включёнными в утверждённый директором перечень освобождённых от первичного инструктажа.</w:t>
      </w:r>
    </w:p>
    <w:p>
      <w:pPr>
        <w:pStyle w:val="BodyText"/>
      </w:pPr>
      <w:r>
        <w:t xml:space="preserve">Норма: Правила обучения по охране труда и проверки знания требований охраны труда, утверждённые постановлением Правительства Российской Федерации от 24.12.2021 № 2464.</w:t>
      </w:r>
    </w:p>
    <w:bookmarkEnd w:id="23"/>
    <w:bookmarkStart w:id="24" w:name="Xc01499d068896e0b4506291c7ee64aca4f377f0"/>
    <w:p>
      <w:pPr>
        <w:pStyle w:val="Heading2"/>
        <w:keepNext/>
        <w:keepLines/>
      </w:pPr>
      <w:r>
        <w:t xml:space="preserve">5. Что путают чаще всего: инструктаж работников и занятия с обучающимися</w:t>
      </w:r>
    </w:p>
    <w:p>
      <w:pPr>
        <w:pStyle w:val="FirstParagraph"/>
      </w:pPr>
      <w:r>
        <w:t xml:space="preserve">Виды инструктажа — вводный, первичный, повторный, внеплановый, целевой — установлены Правилами № 2464</w:t>
      </w:r>
      <w:r>
        <w:t xml:space="preserve"> </w:t>
      </w:r>
      <w:r>
        <w:rPr>
          <w:bCs/>
          <w:b/>
        </w:rPr>
        <w:t xml:space="preserve">для работников</w:t>
      </w:r>
      <w:r>
        <w:t xml:space="preserve">.</w:t>
      </w:r>
    </w:p>
    <w:p>
      <w:pPr>
        <w:pStyle w:val="BodyText"/>
      </w:pPr>
      <w:r>
        <w:t xml:space="preserve">Для обучающихся федеральная норма такой системы не устанавливает. Занятия по правилам безопасного поведения школа проводит в порядке, который определяет своим локальным актом, и в формах, предусмотренных программой воспитания.</w:t>
      </w:r>
    </w:p>
    <w:p>
      <w:pPr>
        <w:pStyle w:val="BodyText"/>
      </w:pPr>
      <w:r>
        <w:rPr>
          <w:bCs/>
          <w:b/>
        </w:rPr>
        <w:t xml:space="preserve">Почему это важно:</w:t>
      </w:r>
      <w:r>
        <w:t xml:space="preserve"> </w:t>
      </w:r>
      <w:r>
        <w:t xml:space="preserve">если в локальном акте школы написано, что с обучающимися проводится «первичный инструктаж по охране труда», проверяющий вправе спросить, на какой норме это основано. Правильная формулировка — занятия (инструктажи) по безопасности в порядке, установленном локальным актом.</w:t>
      </w:r>
    </w:p>
    <w:bookmarkEnd w:id="24"/>
    <w:bookmarkStart w:id="25" w:name="X35950c3be694bef1ca074b194c84bb97c947713"/>
    <w:p>
      <w:pPr>
        <w:pStyle w:val="Heading2"/>
        <w:keepNext/>
        <w:keepLines/>
      </w:pPr>
      <w:r>
        <w:t xml:space="preserve">6. Правила внутреннего распорядка обучающихся — с 1 сентября 2026 года</w:t>
      </w:r>
    </w:p>
    <w:p>
      <w:pPr>
        <w:pStyle w:val="FirstParagraph"/>
      </w:pPr>
      <w:r>
        <w:t xml:space="preserve">Запрет пользоваться средствами связи во время учебных занятий действует не с этого года: он установлен пунктом 4.1 части 1 статьи 43 Федерального закона от 29.12.2012 № 273-ФЗ. С 1 сентября 2026 года вступает в силу приказ Минпросвещения России от 08.05.2026 № 316, который меняет Порядок организации образовательной деятельности, — под него и приводятся правила внутреннего распорядка обучающихся.</w:t>
      </w:r>
    </w:p>
    <w:p>
      <w:pPr>
        <w:pStyle w:val="BodyText"/>
      </w:pPr>
      <w:r>
        <w:rPr>
          <w:bCs/>
          <w:b/>
        </w:rPr>
        <w:t xml:space="preserve">Что проверить:</w:t>
      </w:r>
      <w:r>
        <w:t xml:space="preserve"> </w:t>
      </w:r>
      <w:r>
        <w:t xml:space="preserve">правила приняты с учётом мнения совета обучающихся и совета родителей (часть 3 статьи 30 Федерального закона от 29.12.2012 № 273-ФЗ), утверждены приказом и размещены на официальном сайте.</w:t>
      </w:r>
    </w:p>
    <w:bookmarkEnd w:id="25"/>
    <w:bookmarkStart w:id="26" w:name="правовая-основа"/>
    <w:p>
      <w:pPr>
        <w:pStyle w:val="Heading2"/>
        <w:keepNext/>
        <w:keepLines/>
      </w:pPr>
      <w:r>
        <w:t xml:space="preserve">Правовая основа</w:t>
      </w:r>
    </w:p>
    <w:p>
      <w:pPr>
        <w:numPr>
          <w:ilvl w:val="0"/>
          <w:numId w:val="1001"/>
        </w:numPr>
        <w:pStyle w:val="Compact"/>
      </w:pPr>
      <w:r>
        <w:t xml:space="preserve">Трудовой кодекс Российской Федерации: часть вторая статьи 67 (форма трудового договора и срок оформления при фактическом допущении), статья 333 (рабочее время педагогических работников).</w:t>
      </w:r>
    </w:p>
    <w:p>
      <w:pPr>
        <w:numPr>
          <w:ilvl w:val="0"/>
          <w:numId w:val="1001"/>
        </w:numPr>
        <w:pStyle w:val="Compact"/>
      </w:pPr>
      <w:r>
        <w:t xml:space="preserve">Федеральный закон от 29.12.2012 № 273-ФЗ «Об образовании в Российской Федерации»: статья 30 (локальные нормативные акты, учёт мнения советов), статья 41 (охрана здоровья обучающихся).</w:t>
      </w:r>
    </w:p>
    <w:p>
      <w:pPr>
        <w:numPr>
          <w:ilvl w:val="0"/>
          <w:numId w:val="1001"/>
        </w:numPr>
        <w:pStyle w:val="Compact"/>
      </w:pPr>
      <w:r>
        <w:t xml:space="preserve">Постановление Правительства Российской Федерации от 24.12.2021 № 2464 «О порядке обучения по охране труда и проверки знания требований охраны труда».</w:t>
      </w:r>
    </w:p>
    <w:p>
      <w:pPr>
        <w:numPr>
          <w:ilvl w:val="0"/>
          <w:numId w:val="1001"/>
        </w:numPr>
        <w:pStyle w:val="Compact"/>
      </w:pPr>
      <w:r>
        <w:t xml:space="preserve">Постановление Правительства Российской Федерации от 27.11.2006 № 719 «Об утверждении Положения о воинском учёте», приложения № 6 и № 7.</w:t>
      </w:r>
    </w:p>
    <w:bookmarkEnd w:id="26"/>
    <w:bookmarkEnd w:id="27"/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  <w:compat>
    <w:doNotExpandShiftReturn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widowControl/>
      <w:jc w:val="left"/>
      <w:spacing w:before="180" w:after="100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2026-08-31T16:30:25Z</dcterms:created>
  <dcterms:modified xsi:type="dcterms:W3CDTF">2026-08-31T16:30:25Z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