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X6c9c041766843144420cb025f2d45aff3d2a8d4"/>
    <w:p>
      <w:pPr>
        <w:pBdr>
          <w:bottom w:val="single" w:sz="12" w:space="6" w:color="8B1E2D"/>
        </w:pBdr>
        <w:pStyle w:val="Heading1"/>
      </w:pPr>
      <w:r>
        <w:t xml:space="preserve">Чек-лист проверки рабочих программ на 2026/27 учебный год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3960"/>
        <w:gridCol w:w="3960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Реквизит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Значение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Образовательная организация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[полное наименование]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Учебный предмет, курс или модуль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[наименование]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Уровень и класс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[НОО / ООО / СОО; класс]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Ответственный за проверку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[должность, Ф. И. О.]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Дата проверки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</w:tr>
    </w:tbl>
    <w:p>
      <w:pPr>
        <w:pStyle w:val="BodyText"/>
      </w:pPr>
      <w:r>
        <w:t xml:space="preserve">Используйте лист до утверждения рабочих программ и после каждого изменения основной образовательной программы. Проверяйте применимую редакцию ФГОС, ФОП и федеральной рабочей программы именно для нужного уровня, предмета и класса.</w:t>
      </w:r>
    </w:p>
    <w:bookmarkStart w:id="20" w:name="каркас-программы"/>
    <w:p>
      <w:pPr>
        <w:pStyle w:val="Heading2"/>
      </w:pPr>
      <w:r>
        <w:t xml:space="preserve">1. Каркас программы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883"/>
        <w:gridCol w:w="2162"/>
        <w:gridCol w:w="2162"/>
        <w:gridCol w:w="2162"/>
        <w:gridCol w:w="3604"/>
        <w:gridCol w:w="2162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righ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Что проверить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Где смотреть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Ответственный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center"/>
            </w:pPr>
            <w:r>
              <w:rPr>
                <w:b/>
                <w:color w:val="FFFFFF"/>
                <w:sz w:val="22"/>
                <w:szCs w:val="22"/>
              </w:rPr>
              <w:t xml:space="preserve">Да/Нет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Комментарий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righ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Указаны уровень образования, класс, вид программы и количество часов; часы совпадают с учебным планом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Титульный лист, учебный план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center"/>
            </w:pPr>
            <w:r>
              <w:rPr>
                <w:sz w:val="22"/>
                <w:szCs w:val="22"/>
              </w:rPr>
              <w:t xml:space="preserve">[ 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righ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 программе есть содержание, планируемые результаты и тематическое планирование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Оглавление и разделы программы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Руководитель методического объединения</w:t>
            </w:r>
          </w:p>
        </w:tc>
        <w:tc>
          <w:tcPr/>
          <w:p>
            <w:pPr>
              <w:pStyle w:val="Compact"/>
              <w:ind w:firstLine="0" w:left="0"/>
              <w:jc w:val="center"/>
            </w:pPr>
            <w:r>
              <w:rPr>
                <w:sz w:val="22"/>
                <w:szCs w:val="22"/>
              </w:rPr>
              <w:t xml:space="preserve">[ 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righ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Определён режим работы с федеральной рабочей программой: непосредственное применение либо собственный текст школы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Пояснительная записка, приказ об утверждении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center"/>
            </w:pPr>
            <w:r>
              <w:rPr>
                <w:sz w:val="22"/>
                <w:szCs w:val="22"/>
              </w:rPr>
              <w:t xml:space="preserve">[ 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right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Если школа разработала собственный текст, содержание и планируемые результаты не ниже федеральных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Рабочая программа и применимая ФРП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Учитель, руководитель методического объединения</w:t>
            </w:r>
          </w:p>
        </w:tc>
        <w:tc>
          <w:tcPr/>
          <w:p>
            <w:pPr>
              <w:pStyle w:val="Compact"/>
              <w:ind w:firstLine="0" w:left="0"/>
              <w:jc w:val="center"/>
            </w:pPr>
            <w:r>
              <w:rPr>
                <w:sz w:val="22"/>
                <w:szCs w:val="22"/>
              </w:rPr>
              <w:t xml:space="preserve">[ 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</w:tr>
    </w:tbl>
    <w:bookmarkEnd w:id="20"/>
    <w:bookmarkStart w:id="21" w:name="результаты-и-тематическое-планирование"/>
    <w:p>
      <w:pPr>
        <w:pStyle w:val="Heading2"/>
      </w:pPr>
      <w:r>
        <w:t xml:space="preserve">2. Результаты и тематическое планирование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883"/>
        <w:gridCol w:w="2162"/>
        <w:gridCol w:w="2162"/>
        <w:gridCol w:w="2162"/>
        <w:gridCol w:w="3604"/>
        <w:gridCol w:w="2162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righ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Что проверить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Где смотреть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Ответственный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center"/>
            </w:pPr>
            <w:r>
              <w:rPr>
                <w:b/>
                <w:color w:val="FFFFFF"/>
                <w:sz w:val="22"/>
                <w:szCs w:val="22"/>
              </w:rPr>
              <w:t xml:space="preserve">Да/Нет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Комментарий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right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Формулировки личностных, метапредметных и предметных результатов сверены с действующей редакцией ФГОС и ФРП для нужного класса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Раздел «Планируемые результаты»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Учитель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center"/>
            </w:pPr>
            <w:r>
              <w:rPr>
                <w:sz w:val="22"/>
                <w:szCs w:val="22"/>
              </w:rPr>
              <w:t xml:space="preserve">[ 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right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Каждому заявленному результату соответствует содержание, на котором он формируется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Результаты, содержание, тематическое планирование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Учитель</w:t>
            </w:r>
          </w:p>
        </w:tc>
        <w:tc>
          <w:tcPr/>
          <w:p>
            <w:pPr>
              <w:pStyle w:val="Compact"/>
              <w:ind w:firstLine="0" w:left="0"/>
              <w:jc w:val="center"/>
            </w:pPr>
            <w:r>
              <w:rPr>
                <w:sz w:val="22"/>
                <w:szCs w:val="22"/>
              </w:rPr>
              <w:t xml:space="preserve">[ 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right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Темы, последовательность и количество часов согласованы между программой и учебным планом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Тематическое планирование, учебный план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Учитель, заместитель директора по УВР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center"/>
            </w:pPr>
            <w:r>
              <w:rPr>
                <w:sz w:val="22"/>
                <w:szCs w:val="22"/>
              </w:rPr>
              <w:t xml:space="preserve">[ 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right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 тексте нет устаревших реквизитов ФГОС, ФОП, ФРП и автоматически перенесённых прошлогодних часов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Пояснительная записка, список источников, тематическое планирование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Руководитель методического объединения</w:t>
            </w:r>
          </w:p>
        </w:tc>
        <w:tc>
          <w:tcPr/>
          <w:p>
            <w:pPr>
              <w:pStyle w:val="Compact"/>
              <w:ind w:firstLine="0" w:left="0"/>
              <w:jc w:val="center"/>
            </w:pPr>
            <w:r>
              <w:rPr>
                <w:sz w:val="22"/>
                <w:szCs w:val="22"/>
              </w:rPr>
              <w:t xml:space="preserve">[ 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</w:tr>
    </w:tbl>
    <w:bookmarkEnd w:id="21"/>
    <w:bookmarkStart w:id="22" w:name="Xcc9546d8858804b12c91a3292b27eb11d5089b9"/>
    <w:p>
      <w:pPr>
        <w:pStyle w:val="Heading2"/>
      </w:pPr>
      <w:r>
        <w:t xml:space="preserve">3. Воспитание, внеурочная деятельность и локальные решения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883"/>
        <w:gridCol w:w="2162"/>
        <w:gridCol w:w="2162"/>
        <w:gridCol w:w="2162"/>
        <w:gridCol w:w="3604"/>
        <w:gridCol w:w="2162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righ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Что проверить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Где смотреть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Ответственный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center"/>
            </w:pPr>
            <w:r>
              <w:rPr>
                <w:b/>
                <w:color w:val="FFFFFF"/>
                <w:sz w:val="22"/>
                <w:szCs w:val="22"/>
              </w:rPr>
              <w:t xml:space="preserve">Да/Нет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Комментарий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right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Рабочая программа воспитания учтена применимым для уровня способом: при формировании программы либо в тематическом планировании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Рабочая программа, программа воспитания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 и ВР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center"/>
            </w:pPr>
            <w:r>
              <w:rPr>
                <w:sz w:val="22"/>
                <w:szCs w:val="22"/>
              </w:rPr>
              <w:t xml:space="preserve">[ 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right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Для НОО и ООО в тематическом планировании отражена возможность использования электронных образовательных ресурсов по теме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Тематическое планирование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Учитель</w:t>
            </w:r>
          </w:p>
        </w:tc>
        <w:tc>
          <w:tcPr/>
          <w:p>
            <w:pPr>
              <w:pStyle w:val="Compact"/>
              <w:ind w:firstLine="0" w:left="0"/>
              <w:jc w:val="center"/>
            </w:pPr>
            <w:r>
              <w:rPr>
                <w:sz w:val="22"/>
                <w:szCs w:val="22"/>
              </w:rPr>
              <w:t xml:space="preserve">[ 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right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 программе курса внеурочной деятельности НОО или ООО названа форма занятий, отличная от урочной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Рабочая программа курса внеурочной деятельности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Педагог, заместитель директора по УВР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center"/>
            </w:pPr>
            <w:r>
              <w:rPr>
                <w:sz w:val="22"/>
                <w:szCs w:val="22"/>
              </w:rPr>
              <w:t xml:space="preserve">[ 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right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Если школа ведёт календарно-тематический план отдельно, его темы, последовательность и часы совпадают с утверждённой программой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Рабочая программа, КТП, локальный акт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Учитель</w:t>
            </w:r>
          </w:p>
        </w:tc>
        <w:tc>
          <w:tcPr/>
          <w:p>
            <w:pPr>
              <w:pStyle w:val="Compact"/>
              <w:ind w:firstLine="0" w:left="0"/>
              <w:jc w:val="center"/>
            </w:pPr>
            <w:r>
              <w:rPr>
                <w:sz w:val="22"/>
                <w:szCs w:val="22"/>
              </w:rPr>
              <w:t xml:space="preserve">[ ] / [н/п]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</w:tr>
    </w:tbl>
    <w:bookmarkEnd w:id="22"/>
    <w:bookmarkStart w:id="23" w:name="контроль-и-электронные-ресурсы"/>
    <w:p>
      <w:pPr>
        <w:pStyle w:val="Heading2"/>
      </w:pPr>
      <w:r>
        <w:t xml:space="preserve">4. Контроль и электронные ресурсы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883"/>
        <w:gridCol w:w="2162"/>
        <w:gridCol w:w="2162"/>
        <w:gridCol w:w="2162"/>
        <w:gridCol w:w="3604"/>
        <w:gridCol w:w="2162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righ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Что проверить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Где смотреть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Ответственный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center"/>
            </w:pPr>
            <w:r>
              <w:rPr>
                <w:b/>
                <w:color w:val="FFFFFF"/>
                <w:sz w:val="22"/>
                <w:szCs w:val="22"/>
              </w:rPr>
              <w:t xml:space="preserve">Да/Нет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Комментарий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right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Формы текущего контроля и промежуточной аттестации соответствуют локальному акту школы и учебному плану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Рабочая программа, положение о контроле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center"/>
            </w:pPr>
            <w:r>
              <w:rPr>
                <w:sz w:val="22"/>
                <w:szCs w:val="22"/>
              </w:rPr>
              <w:t xml:space="preserve">[ 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right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Оценочные процедуры внесены в единый школьный график; объём контрольных и проверочных работ проверен с учётом рекомендаций Минпросвещения и Рособрнадзора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График оценочных процедур, тематическое планирование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/>
          <w:p>
            <w:pPr>
              <w:pStyle w:val="Compact"/>
              <w:ind w:firstLine="0" w:left="0"/>
              <w:jc w:val="center"/>
            </w:pPr>
            <w:r>
              <w:rPr>
                <w:sz w:val="22"/>
                <w:szCs w:val="22"/>
              </w:rPr>
              <w:t xml:space="preserve">[ 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right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Приложение с оценочными материалами включено только тогда, когда этого требует применимая ФРП или локальный акт школы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Рабочая программа, ФРП, локальный акт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Руководитель методического объединения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center"/>
            </w:pPr>
            <w:r>
              <w:rPr>
                <w:sz w:val="22"/>
                <w:szCs w:val="22"/>
              </w:rPr>
              <w:t xml:space="preserve">[ ] / [н/п]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right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Конкретные электронные образовательные ресурсы, которые школа фактически использует, входят в действующий федеральный перечень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Тематическое планирование, ссылки на ЭОР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Учитель, ответственный за цифровую среду</w:t>
            </w:r>
          </w:p>
        </w:tc>
        <w:tc>
          <w:tcPr/>
          <w:p>
            <w:pPr>
              <w:pStyle w:val="Compact"/>
              <w:ind w:firstLine="0" w:left="0"/>
              <w:jc w:val="center"/>
            </w:pPr>
            <w:r>
              <w:rPr>
                <w:sz w:val="22"/>
                <w:szCs w:val="22"/>
              </w:rPr>
              <w:t xml:space="preserve">[ ] / [н/п]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</w:tr>
    </w:tbl>
    <w:bookmarkEnd w:id="23"/>
    <w:bookmarkStart w:id="24" w:name="кодификаторы-и-терминология"/>
    <w:p>
      <w:pPr>
        <w:pStyle w:val="Heading2"/>
      </w:pPr>
      <w:r>
        <w:t xml:space="preserve">5. Кодификаторы и терминология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883"/>
        <w:gridCol w:w="2162"/>
        <w:gridCol w:w="2162"/>
        <w:gridCol w:w="2162"/>
        <w:gridCol w:w="3604"/>
        <w:gridCol w:w="2162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righ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Что проверить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Где смотреть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Ответственный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center"/>
            </w:pPr>
            <w:r>
              <w:rPr>
                <w:b/>
                <w:color w:val="FFFFFF"/>
                <w:sz w:val="22"/>
                <w:szCs w:val="22"/>
              </w:rPr>
              <w:t xml:space="preserve">Да/Нет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Комментарий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right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Для сверки содержания и результатов использован актуальный универсальный кодификатор ФИПИ для нужного предмета и класса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Рабочая программа, материалы ФИПИ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Руководитель методического объединения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center"/>
            </w:pPr>
            <w:r>
              <w:rPr>
                <w:sz w:val="22"/>
                <w:szCs w:val="22"/>
              </w:rPr>
              <w:t xml:space="preserve">[ 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right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Для 9-х и 11-х классов отдельно проверены актуальные демоверсии, спецификации и кодификаторы ОГЭ или ЕГЭ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Материалы ФИПИ текущего года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Учитель</w:t>
            </w:r>
          </w:p>
        </w:tc>
        <w:tc>
          <w:tcPr/>
          <w:p>
            <w:pPr>
              <w:pStyle w:val="Compact"/>
              <w:ind w:firstLine="0" w:left="0"/>
              <w:jc w:val="center"/>
            </w:pPr>
            <w:r>
              <w:rPr>
                <w:sz w:val="22"/>
                <w:szCs w:val="22"/>
              </w:rPr>
              <w:t xml:space="preserve">[ ] / [н/п]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right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Термин «предметные области» не удалён автоматически: исправлены только конкретные устаревшие формулировки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Весь текст программы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Учитель, руководитель методического объединения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center"/>
            </w:pPr>
            <w:r>
              <w:rPr>
                <w:sz w:val="22"/>
                <w:szCs w:val="22"/>
              </w:rPr>
              <w:t xml:space="preserve">[ 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right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Методическая концепция учтена только при её официальной применимости; основной контроль выполнен по ФГОС, ФОП и ФРП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Пояснительная записка, источники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Руководитель методического объединения</w:t>
            </w:r>
          </w:p>
        </w:tc>
        <w:tc>
          <w:tcPr/>
          <w:p>
            <w:pPr>
              <w:pStyle w:val="Compact"/>
              <w:ind w:firstLine="0" w:left="0"/>
              <w:jc w:val="center"/>
            </w:pPr>
            <w:r>
              <w:rPr>
                <w:sz w:val="22"/>
                <w:szCs w:val="22"/>
              </w:rPr>
              <w:t xml:space="preserve">[ ] / [н/п]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</w:tr>
    </w:tbl>
    <w:bookmarkEnd w:id="24"/>
    <w:bookmarkStart w:id="25" w:name="Xc6148bfc6f04570ce76264c7baec475c7f8f032"/>
    <w:p>
      <w:pPr>
        <w:pStyle w:val="Heading2"/>
      </w:pPr>
      <w:r>
        <w:t xml:space="preserve">6. Предметные изменения с 1 сентября 2026 года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883"/>
        <w:gridCol w:w="2162"/>
        <w:gridCol w:w="2162"/>
        <w:gridCol w:w="2162"/>
        <w:gridCol w:w="3604"/>
        <w:gridCol w:w="2162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righ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Что проверить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Где смотреть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Ответственный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center"/>
            </w:pPr>
            <w:r>
              <w:rPr>
                <w:b/>
                <w:color w:val="FFFFFF"/>
                <w:sz w:val="22"/>
                <w:szCs w:val="22"/>
              </w:rPr>
              <w:t xml:space="preserve">Да/Нет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Комментарий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right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 ООО программа ДНКР подготовлена для 5-го класса, а обществознание по новой ФРП — для 9-го класса; прежняя программа не перенесена автоматически в 6–8-е классы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Учебный план, программы ДНКР и обществознания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center"/>
            </w:pPr>
            <w:r>
              <w:rPr>
                <w:sz w:val="22"/>
                <w:szCs w:val="22"/>
              </w:rPr>
              <w:t xml:space="preserve">[ ] / [н/п]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right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 ООО история сверена по новым часам и модулю «История нашего края», иностранный язык — по переходной сетке часов для каждого класса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Учебный план, программы истории и иностранного языка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Учителя, руководители методических объединений</w:t>
            </w:r>
          </w:p>
        </w:tc>
        <w:tc>
          <w:tcPr/>
          <w:p>
            <w:pPr>
              <w:pStyle w:val="Compact"/>
              <w:ind w:firstLine="0" w:left="0"/>
              <w:jc w:val="center"/>
            </w:pPr>
            <w:r>
              <w:rPr>
                <w:sz w:val="22"/>
                <w:szCs w:val="22"/>
              </w:rPr>
              <w:t xml:space="preserve">[ ] / [н/п]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right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 СОО обществознание проверено по редакции для года начала обучения, а в истории сохранена установленная последовательность тем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Программы обществознания и истории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Учителя, заместитель директора по УВР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center"/>
            </w:pPr>
            <w:r>
              <w:rPr>
                <w:sz w:val="22"/>
                <w:szCs w:val="22"/>
              </w:rPr>
              <w:t xml:space="preserve">[ ] / [н/п]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right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 СОО сверены часы физической культуры, результаты углублённой математики и обновлённое поурочное планирование литературы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Учебный план и рабочие программы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Учителя, заместитель директора по УВР</w:t>
            </w:r>
          </w:p>
        </w:tc>
        <w:tc>
          <w:tcPr/>
          <w:p>
            <w:pPr>
              <w:pStyle w:val="Compact"/>
              <w:ind w:firstLine="0" w:left="0"/>
              <w:jc w:val="center"/>
            </w:pPr>
            <w:r>
              <w:rPr>
                <w:sz w:val="22"/>
                <w:szCs w:val="22"/>
              </w:rPr>
              <w:t xml:space="preserve">[ ] / [н/п]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</w:tr>
    </w:tbl>
    <w:bookmarkEnd w:id="25"/>
    <w:bookmarkStart w:id="26" w:name="если-ответ-нет"/>
    <w:p>
      <w:pPr>
        <w:pStyle w:val="Heading2"/>
      </w:pPr>
      <w:r>
        <w:t xml:space="preserve">Если ответ «нет»</w:t>
      </w:r>
    </w:p>
    <w:p>
      <w:pPr>
        <w:pStyle w:val="FirstParagraph"/>
      </w:pPr>
      <w:r>
        <w:t xml:space="preserve">По каждой найденной позиции укажите, что нужно исправить, назначьте ответственного и срок. Внесите изменения в основную образовательную программу и рабочую программу в порядке, установленном уставом и локальными актами школы. После исправления повторите сверку до утверждения документа.</w:t>
      </w:r>
    </w:p>
    <w:bookmarkEnd w:id="26"/>
    <w:bookmarkStart w:id="27" w:name="итог-проверки"/>
    <w:p>
      <w:pPr>
        <w:pStyle w:val="Heading2"/>
      </w:pPr>
      <w:r>
        <w:t xml:space="preserve">Итог проверки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3960"/>
        <w:gridCol w:w="3960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Показатель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Значение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Проверено пунктов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 из 24]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Требуют исправления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Срок повторной проверки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Результат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[готово к утверждению / требуется доработка]</w:t>
            </w:r>
          </w:p>
        </w:tc>
      </w:tr>
    </w:tbl>
    <w:p>
      <w:pPr>
        <w:pStyle w:val="BodyText"/>
      </w:pPr>
      <w:r>
        <w:t xml:space="preserve">Проверил: [должность] [Ф. И. О.] [подпись] [дата].</w:t>
      </w:r>
    </w:p>
    <w:bookmarkEnd w:id="27"/>
    <w:bookmarkStart w:id="28" w:name="правовая-и-методическая-основа"/>
    <w:p>
      <w:pPr>
        <w:pStyle w:val="Heading2"/>
      </w:pPr>
      <w:r>
        <w:t xml:space="preserve">Правовая и методическая основа</w:t>
      </w:r>
    </w:p>
    <w:p>
      <w:pPr>
        <w:numPr>
          <w:ilvl w:val="0"/>
          <w:numId w:val="1001"/>
        </w:numPr>
        <w:pStyle w:val="Compact"/>
      </w:pPr>
      <w:r>
        <w:t xml:space="preserve">Федеральный закон от 29.12.2012 № 273-ФЗ «Об образовании в Российской Федерации», статья 12.</w:t>
      </w:r>
    </w:p>
    <w:p>
      <w:pPr>
        <w:numPr>
          <w:ilvl w:val="0"/>
          <w:numId w:val="1001"/>
        </w:numPr>
        <w:pStyle w:val="Compact"/>
      </w:pPr>
      <w:r>
        <w:t xml:space="preserve">ФГОС НОО, утверждённый приказом Минпросвещения России от 31.05.2021 № 286.</w:t>
      </w:r>
    </w:p>
    <w:p>
      <w:pPr>
        <w:numPr>
          <w:ilvl w:val="0"/>
          <w:numId w:val="1001"/>
        </w:numPr>
        <w:pStyle w:val="Compact"/>
      </w:pPr>
      <w:r>
        <w:t xml:space="preserve">ФГОС ООО, утверждённый приказом Минпросвещения России от 31.05.2021 № 287.</w:t>
      </w:r>
    </w:p>
    <w:p>
      <w:pPr>
        <w:numPr>
          <w:ilvl w:val="0"/>
          <w:numId w:val="1001"/>
        </w:numPr>
        <w:pStyle w:val="Compact"/>
      </w:pPr>
      <w:r>
        <w:t xml:space="preserve">ФГОС СОО, утверждённый приказом Минобрнауки России от 17.05.2012 № 413.</w:t>
      </w:r>
    </w:p>
    <w:p>
      <w:pPr>
        <w:numPr>
          <w:ilvl w:val="0"/>
          <w:numId w:val="1001"/>
        </w:numPr>
        <w:pStyle w:val="Compact"/>
      </w:pPr>
      <w:r>
        <w:t xml:space="preserve">ФОП НОО, ООО и СОО, утверждённые приказами Минпросвещения России от 18.05.2023 № 372, № 370 и № 371, в действующих редакциях.</w:t>
      </w:r>
    </w:p>
    <w:p>
      <w:pPr>
        <w:numPr>
          <w:ilvl w:val="0"/>
          <w:numId w:val="1001"/>
        </w:numPr>
        <w:pStyle w:val="Compact"/>
      </w:pPr>
      <w:r>
        <w:t xml:space="preserve">Приказы Минпросвещения России от 18.06.2025 № 467, от 09.10.2024 № 704, от 08.10.2025 № 729 и от 10.11.2025 № 808.</w:t>
      </w:r>
    </w:p>
    <w:p>
      <w:pPr>
        <w:numPr>
          <w:ilvl w:val="0"/>
          <w:numId w:val="1001"/>
        </w:numPr>
        <w:pStyle w:val="Compact"/>
      </w:pPr>
      <w:r>
        <w:t xml:space="preserve">Письмо Минпросвещения России от 06.08.2021 № СК-228/03 и письмо Рособрнадзора от 06.08.2021 № 01-169/08-01 с рекомендациями по графику оценочных процедур.</w:t>
      </w:r>
    </w:p>
    <w:p>
      <w:pPr>
        <w:numPr>
          <w:ilvl w:val="0"/>
          <w:numId w:val="1001"/>
        </w:numPr>
        <w:pStyle w:val="Compact"/>
      </w:pPr>
      <w:r>
        <w:t xml:space="preserve">Актуальные универсальные кодификаторы и документы ГИА на сайте ФИПИ.</w:t>
      </w:r>
    </w:p>
    <w:p>
      <w:pPr>
        <w:pStyle w:val="FirstParagraph"/>
      </w:pPr>
      <w:r>
        <w:t xml:space="preserve">Статус актуальности: проверено 13 августа 2026 года. Перед применением проверьте актуальную редакцию нормативных актов и локальные документы образовательной организации.</w:t>
      </w:r>
    </w:p>
    <w:bookmarkEnd w:id="28"/>
    <w:bookmarkEnd w:id="29"/>
    <w:sectPr>
      <w:headerReference r:id="rId9" w:type="default"/>
      <w:headerReference r:id="rId10" w:type="first"/>
      <w:pgSz w:h="11906" w:orient="landscape" w:w="16838"/>
      <w:pgMar w:bottom="1134" w:footer="567" w:gutter="0" w:header="567" w:left="1134" w:right="567" w:top="1134"/>
      <w:titlePg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/>
</w:hdr>
</file>

<file path=word/header2.xml><?xml version="1.0" encoding="utf-8"?>
<w:hdr xmlns:w="http://schemas.openxmlformats.org/wordprocessingml/2006/main">
  <w:p>
    <w:pPr>
      <w:jc w:val="center"/>
    </w:pPr>
    <w:r>
      <w:fldChar w:fldCharType="begin"/>
    </w:r>
    <w:r>
      <w:instrText xml:space="preserve"> PAGE </w:instrText>
    </w:r>
    <w:r>
      <w:fldChar w:fldCharType="end"/>
    </w:r>
  </w:p>
</w:hdr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0" w:line="276" w:lineRule="auto"/>
      <w:ind w:firstLine="0"/>
      <w:jc w:val="both"/>
    </w:pPr>
    <w:rPr>
      <w:rFonts w:ascii="Times New Roman" w:cs="Times New Roman" w:eastAsia="Times New Roman" w:hAnsi="Times New Roman"/>
      <w:b w:val="0"/>
      <w:color w:val="000000"/>
      <w:sz w:val="28"/>
      <w:lang w:bidi="ru-RU" w:eastAsia="ru-RU" w:val="ru-RU"/>
    </w:rPr>
  </w:style>
  <w:style w:styleId="BodyText" w:type="paragraph">
    <w:name w:val="Body Text"/>
    <w:basedOn w:val="Normal"/>
    <w:link w:val="BodyTextChar"/>
    <w:pPr>
      <w:spacing w:after="180" w:before="180"/>
    </w:pPr>
    <w:qFormat/>
    <w:rPr>
      <w:rFonts w:ascii="Times New Roman" w:cs="Times New Roman" w:eastAsia="Times New Roman" w:hAnsi="Times New Roman"/>
      <w:color w:val="000000"/>
      <w:lang w:bidi="ru-RU" w:eastAsia="ru-RU" w:val="ru-RU"/>
    </w:rPr>
  </w:style>
  <w:style w:customStyle="1" w:styleId="FirstParagraph" w:type="paragraph">
    <w:name w:val="First Paragraph"/>
    <w:basedOn w:val="BodyText"/>
    <w:next w:val="BodyText"/>
    <w:qFormat/>
    <w:rPr>
      <w:rFonts w:ascii="Times New Roman" w:cs="Times New Roman" w:eastAsia="Times New Roman" w:hAnsi="Times New Roman"/>
      <w:color w:val="000000"/>
      <w:lang w:bidi="ru-RU" w:eastAsia="ru-RU" w:val="ru-RU"/>
    </w:rPr>
  </w:style>
  <w:style w:customStyle="1" w:styleId="Compact" w:type="paragraph">
    <w:name w:val="Compact"/>
    <w:basedOn w:val="BodyText"/>
    <w:qFormat/>
    <w:pPr>
      <w:spacing w:after="0" w:before="36"/>
      <w:ind w:firstLine="0"/>
    </w:pPr>
    <w:rPr>
      <w:rFonts w:ascii="Times New Roman" w:cs="Times New Roman" w:eastAsia="Times New Roman" w:hAnsi="Times New Roman"/>
      <w:b w:val="0"/>
      <w:color w:val="000000"/>
      <w:sz w:val="22"/>
      <w:lang w:bidi="ru-RU" w:eastAsia="ru-RU" w:val="ru-RU"/>
    </w:rPr>
  </w:style>
  <w:style w:styleId="Title" w:type="paragraph">
    <w:name w:val="Title"/>
    <w:basedOn w:val="Normal"/>
    <w:next w:val="BodyText"/>
    <w:qFormat/>
    <w:pPr>
      <w:keepNext/>
      <w:keepLines/>
      <w:widowControl/>
      <w:jc w:val="left"/>
      <w:spacing w:before="180" w:after="100"/>
      <w:ind w:firstLine="0"/>
    </w:pPr>
    <w:rPr>
      <w:rFonts w:ascii="Georgia" w:hAnsi="Georgia"/>
      <w:b/>
      <w:color w:val="8B1E2D"/>
      <w:sz w:val="40"/>
      <w:szCs w:val="40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rFonts w:ascii="Times New Roman" w:cs="Times New Roman" w:eastAsia="Times New Roman" w:hAnsi="Times New Roman"/>
      <w:color w:val="000000"/>
      <w:sz w:val="30"/>
      <w:szCs w:val="30"/>
      <w:lang w:bidi="ru-RU" w:eastAsia="ru-RU" w:val="ru-RU"/>
    </w:rPr>
  </w:style>
  <w:style w:customStyle="1" w:styleId="Author" w:type="paragraph">
    <w:name w:val="Author"/>
    <w:next w:val="BodyText"/>
    <w:qFormat/>
    <w:pPr>
      <w:keepNext/>
      <w:keepLines/>
      <w:jc w:val="center"/>
    </w:pPr>
    <w:rPr>
      <w:rFonts w:ascii="Times New Roman" w:cs="Times New Roman" w:eastAsia="Times New Roman" w:hAnsi="Times New Roman"/>
      <w:color w:val="000000"/>
      <w:lang w:bidi="ru-RU" w:eastAsia="ru-RU" w:val="ru-RU"/>
    </w:rPr>
  </w:style>
  <w:style w:styleId="Date" w:type="paragraph">
    <w:name w:val="Date"/>
    <w:next w:val="BodyText"/>
    <w:qFormat/>
    <w:pPr>
      <w:keepNext/>
      <w:keepLines/>
      <w:jc w:val="center"/>
    </w:pPr>
    <w:rPr>
      <w:rFonts w:ascii="Times New Roman" w:cs="Times New Roman" w:eastAsia="Times New Roman" w:hAnsi="Times New Roman"/>
      <w:color w:val="000000"/>
      <w:lang w:bidi="ru-RU" w:eastAsia="ru-RU" w:val="ru-RU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color w:val="000000"/>
      <w:sz w:val="20"/>
      <w:szCs w:val="20"/>
      <w:rFonts w:ascii="Times New Roman" w:cs="Times New Roman" w:eastAsia="Times New Roman" w:hAnsi="Times New Roman"/>
      <w:b/>
      <w:lang w:bidi="ru-RU" w:eastAsia="ru-RU" w:val="ru-RU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rFonts w:ascii="Times New Roman" w:cs="Times New Roman" w:eastAsia="Times New Roman" w:hAnsi="Times New Roman"/>
      <w:color w:val="000000"/>
      <w:sz w:val="20"/>
      <w:szCs w:val="20"/>
      <w:lang w:bidi="ru-RU" w:eastAsia="ru-RU" w:val="ru-RU"/>
    </w:rPr>
  </w:style>
  <w:style w:styleId="Bibliography" w:type="paragraph">
    <w:name w:val="Bibliography"/>
    <w:basedOn w:val="Normal"/>
    <w:next w:val="Bibliography"/>
    <w:qFormat/>
    <w:pPr/>
    <w:rPr>
      <w:rFonts w:ascii="Times New Roman" w:cs="Times New Roman" w:eastAsia="Times New Roman" w:hAnsi="Times New Roman"/>
      <w:color w:val="000000"/>
      <w:lang w:bidi="ru-RU" w:eastAsia="ru-RU" w:val="ru-RU"/>
    </w:rPr>
  </w:style>
  <w:style w:styleId="Heading1" w:type="paragraph">
    <w:name w:val="Heading 1"/>
    <w:basedOn w:val="Normal"/>
    <w:next w:val="BodyText"/>
    <w:uiPriority w:val="9"/>
    <w:qFormat/>
    <w:pPr>
      <w:keepNext/>
      <w:keepLines/>
      <w:widowControl/>
      <w:jc w:val="left"/>
      <w:spacing w:before="180" w:after="100"/>
      <w:ind w:firstLine="0"/>
      <w:outlineLvl w:val="0"/>
    </w:pPr>
    <w:rPr>
      <w:rFonts w:ascii="Georgia" w:hAnsi="Georgia"/>
      <w:b/>
      <w:color w:val="8B1E2D"/>
      <w:sz w:val="34"/>
      <w:szCs w:val="34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widowControl/>
      <w:jc w:val="left"/>
      <w:spacing w:before="180" w:after="100"/>
      <w:ind w:firstLine="0"/>
      <w:outlineLvl w:val="1"/>
    </w:pPr>
    <w:rPr>
      <w:rFonts w:ascii="Georgia" w:hAnsi="Georgia"/>
      <w:b/>
      <w:color w:val="8B1E2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widowControl/>
      <w:jc w:val="left"/>
      <w:spacing w:before="180" w:after="100"/>
      <w:ind w:firstLine="0"/>
      <w:outlineLvl w:val="2"/>
    </w:pPr>
    <w:rPr>
      <w:rFonts w:ascii="Georgia" w:hAnsi="Georgia"/>
      <w:b/>
      <w:color w:val="5A121E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="Times New Roman" w:asciiTheme="majorHAnsi" w:cs="Times New Roman" w:cstheme="majorBidi" w:eastAsia="Times New Roman" w:eastAsiaTheme="majorEastAsia" w:hAnsi="Times New Roman" w:hAnsiTheme="majorHAnsi"/>
      <w:i/>
      <w:bCs/>
      <w:color w:val="000000"/>
      <w:sz w:val="24"/>
      <w:szCs w:val="24"/>
      <w:lang w:bidi="ru-RU" w:eastAsia="ru-RU" w:val="ru-RU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="Times New Roman" w:asciiTheme="majorHAnsi" w:cs="Times New Roman" w:cstheme="majorBidi" w:eastAsia="Times New Roman" w:eastAsiaTheme="majorEastAsia" w:hAnsi="Times New Roman" w:hAnsiTheme="majorHAnsi"/>
      <w:iCs/>
      <w:color w:val="000000"/>
      <w:sz w:val="24"/>
      <w:szCs w:val="24"/>
      <w:lang w:bidi="ru-RU" w:eastAsia="ru-RU" w:val="ru-RU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="Times New Roman" w:asciiTheme="majorHAnsi" w:cs="Times New Roman" w:cstheme="majorBidi" w:eastAsia="Times New Roman" w:eastAsiaTheme="majorEastAsia" w:hAnsi="Times New Roman" w:hAnsiTheme="majorHAnsi"/>
      <w:color w:val="000000"/>
      <w:sz w:val="24"/>
      <w:szCs w:val="24"/>
      <w:lang w:bidi="ru-RU" w:eastAsia="ru-RU" w:val="ru-RU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="Times New Roman" w:asciiTheme="majorHAnsi" w:cs="Times New Roman" w:cstheme="majorBidi" w:eastAsia="Times New Roman" w:eastAsiaTheme="majorEastAsia" w:hAnsi="Times New Roman" w:hAnsiTheme="majorHAnsi"/>
      <w:color w:val="000000"/>
      <w:sz w:val="24"/>
      <w:szCs w:val="24"/>
      <w:lang w:bidi="ru-RU" w:eastAsia="ru-RU" w:val="ru-RU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="Times New Roman" w:asciiTheme="majorHAnsi" w:cs="Times New Roman" w:cstheme="majorBidi" w:eastAsia="Times New Roman" w:eastAsiaTheme="majorEastAsia" w:hAnsi="Times New Roman" w:hAnsiTheme="majorHAnsi"/>
      <w:color w:val="000000"/>
      <w:sz w:val="24"/>
      <w:szCs w:val="24"/>
      <w:lang w:bidi="ru-RU" w:eastAsia="ru-RU" w:val="ru-RU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="Times New Roman" w:asciiTheme="majorHAnsi" w:cs="Times New Roman" w:cstheme="majorBidi" w:eastAsia="Times New Roman" w:eastAsiaTheme="majorEastAsia" w:hAnsi="Times New Roman" w:hAnsiTheme="majorHAnsi"/>
      <w:color w:val="000000"/>
      <w:sz w:val="24"/>
      <w:szCs w:val="24"/>
      <w:lang w:bidi="ru-RU" w:eastAsia="ru-RU" w:val="ru-RU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  <w:rPr>
      <w:rFonts w:ascii="Times New Roman" w:cs="Times New Roman" w:eastAsia="Times New Roman" w:hAnsi="Times New Roman"/>
      <w:color w:val="000000"/>
      <w:lang w:bidi="ru-RU" w:eastAsia="ru-RU" w:val="ru-RU"/>
    </w:rPr>
  </w:style>
  <w:style w:styleId="FootnoteText" w:type="paragraph">
    <w:name w:val="Footnote Text"/>
    <w:basedOn w:val="Normal"/>
    <w:next w:val="FootnoteText"/>
    <w:uiPriority w:val="9"/>
    <w:unhideWhenUsed/>
    <w:qFormat/>
    <w:rPr>
      <w:rFonts w:ascii="Times New Roman" w:cs="Times New Roman" w:eastAsia="Times New Roman" w:hAnsi="Times New Roman"/>
      <w:color w:val="000000"/>
      <w:lang w:bidi="ru-RU" w:eastAsia="ru-RU" w:val="ru-RU"/>
    </w:r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rFonts w:ascii="Times New Roman" w:cs="Times New Roman" w:eastAsia="Times New Roman" w:hAnsi="Times New Roman"/>
      <w:b/>
      <w:color w:val="000000"/>
      <w:lang w:bidi="ru-RU" w:eastAsia="ru-RU" w:val="ru-RU"/>
    </w:rPr>
  </w:style>
  <w:style w:customStyle="1" w:styleId="Definition" w:type="paragraph">
    <w:name w:val="Definition"/>
    <w:basedOn w:val="Normal"/>
    <w:rPr>
      <w:rFonts w:ascii="Times New Roman" w:cs="Times New Roman" w:eastAsia="Times New Roman" w:hAnsi="Times New Roman"/>
      <w:color w:val="000000"/>
      <w:lang w:bidi="ru-RU" w:eastAsia="ru-RU" w:val="ru-RU"/>
    </w:rPr>
  </w:style>
  <w:style w:styleId="Caption" w:type="paragraph">
    <w:name w:val="Caption"/>
    <w:basedOn w:val="Normal"/>
    <w:link w:val="BodyTextChar"/>
    <w:pPr>
      <w:spacing w:after="120" w:before="0"/>
    </w:pPr>
    <w:rPr>
      <w:rFonts w:ascii="Times New Roman" w:cs="Times New Roman" w:eastAsia="Times New Roman" w:hAnsi="Times New Roman"/>
      <w:i/>
      <w:color w:val="000000"/>
      <w:lang w:bidi="ru-RU" w:eastAsia="ru-RU" w:val="ru-RU"/>
    </w:rPr>
  </w:style>
  <w:style w:customStyle="1" w:styleId="TableCaption" w:type="paragraph">
    <w:name w:val="Table Caption"/>
    <w:basedOn w:val="Caption"/>
    <w:pPr>
      <w:keepNext/>
      <w:spacing w:after="0"/>
      <w:ind w:firstLine="0"/>
    </w:pPr>
    <w:rPr>
      <w:rFonts w:ascii="Times New Roman" w:cs="Times New Roman" w:eastAsia="Times New Roman" w:hAnsi="Times New Roman"/>
      <w:b w:val="0"/>
      <w:color w:val="000000"/>
      <w:sz w:val="22"/>
      <w:lang w:bidi="ru-RU" w:eastAsia="ru-RU" w:val="ru-RU"/>
    </w:rPr>
  </w:style>
  <w:style w:customStyle="1" w:styleId="ImageCaption" w:type="paragraph">
    <w:name w:val="Image Caption"/>
    <w:basedOn w:val="Caption"/>
    <w:rPr>
      <w:rFonts w:ascii="Times New Roman" w:cs="Times New Roman" w:eastAsia="Times New Roman" w:hAnsi="Times New Roman"/>
      <w:color w:val="000000"/>
      <w:lang w:bidi="ru-RU" w:eastAsia="ru-RU" w:val="ru-RU"/>
    </w:rPr>
  </w:style>
  <w:style w:customStyle="1" w:styleId="Figure" w:type="paragraph">
    <w:name w:val="Figure"/>
    <w:basedOn w:val="Normal"/>
    <w:rPr>
      <w:rFonts w:ascii="Times New Roman" w:cs="Times New Roman" w:eastAsia="Times New Roman" w:hAnsi="Times New Roman"/>
      <w:color w:val="000000"/>
      <w:lang w:bidi="ru-RU" w:eastAsia="ru-RU" w:val="ru-RU"/>
    </w:rPr>
  </w:style>
  <w:style w:customStyle="1" w:styleId="CaptionedFigure" w:type="paragraph">
    <w:name w:val="Captioned Figure"/>
    <w:basedOn w:val="Figure"/>
    <w:pPr>
      <w:keepNext/>
    </w:pPr>
    <w:rPr>
      <w:rFonts w:ascii="Times New Roman" w:cs="Times New Roman" w:eastAsia="Times New Roman" w:hAnsi="Times New Roman"/>
      <w:color w:val="000000"/>
      <w:lang w:bidi="ru-RU" w:eastAsia="ru-RU" w:val="ru-RU"/>
    </w:r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="Times New Roman" w:asciiTheme="majorHAnsi" w:cs="Times New Roman" w:cstheme="majorBidi" w:eastAsia="Times New Roman" w:eastAsiaTheme="majorEastAsia" w:hAnsi="Times New Roman" w:hAnsiTheme="majorHAnsi"/>
      <w:b w:val="0"/>
      <w:bCs w:val="0"/>
      <w:color w:val="000000"/>
      <w:lang w:bidi="ru-RU" w:eastAsia="ru-RU" w:val="ru-RU"/>
    </w:rPr>
  </w:style>
  <w:style w:customStyle="1" w:styleId="NazvanieDokumenta" w:type="paragraph">
    <w:name w:val="НазваниеДокумента"/>
    <w:basedOn w:val="BodyText"/>
    <w:qFormat/>
    <w:pPr>
      <w:keepNext/>
      <w:keepLines/>
      <w:spacing w:after="240" w:before="240" w:line="276" w:lineRule="auto"/>
      <w:ind w:firstLine="0" w:left="0" w:right="0"/>
      <w:jc w:val="center"/>
    </w:pPr>
    <w:rPr>
      <w:rFonts w:ascii="Times New Roman" w:cs="Times New Roman" w:eastAsia="Times New Roman" w:hAnsi="Times New Roman"/>
      <w:b/>
      <w:color w:val="000000"/>
      <w:sz w:val="28"/>
      <w:szCs w:val="28"/>
      <w:lang w:bidi="ru-RU" w:eastAsia="ru-RU" w:val="ru-RU"/>
    </w:rPr>
  </w:style>
  <w:style w:customStyle="1" w:styleId="Grif" w:type="paragraph">
    <w:name w:val="Гриф"/>
    <w:basedOn w:val="BodyText"/>
    <w:qFormat/>
    <w:pPr>
      <w:keepNext/>
      <w:keepLines/>
      <w:spacing w:after="0" w:before="0" w:line="240" w:lineRule="auto"/>
      <w:ind w:firstLine="0" w:left="0" w:right="0"/>
      <w:jc w:val="right"/>
    </w:pPr>
    <w:rPr>
      <w:rFonts w:ascii="Times New Roman" w:cs="Times New Roman" w:eastAsia="Times New Roman" w:hAnsi="Times New Roman"/>
      <w:b w:val="0"/>
      <w:color w:val="000000"/>
      <w:sz w:val="28"/>
      <w:szCs w:val="28"/>
      <w:lang w:bidi="ru-RU" w:eastAsia="ru-RU" w:val="ru-RU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2.xml" Type="http://schemas.openxmlformats.org/officeDocument/2006/relationships/header" /><Relationship Id="rId10" Target="header1.xml" Type="http://schemas.openxmlformats.org/officeDocument/2006/relationships/head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2026-08-13T08:50:33Z</dcterms:created>
  <dcterms:modified xsi:type="dcterms:W3CDTF">2026-08-13T08:50:33Z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