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Лист проверки ООП НОО, ООО и СОО после приказа Минпросвещения России от 19.08.2026 № 576</w:t>
      </w:r>
    </w:p>
    <w:p>
      <w:pPr/>
      <w:r>
        <w:t>Форма добровольная; обязательной государственной отчётности она не создаёт. Если в школе уже есть своя форма сверки, достаточно её. Лист используется вместе с «Картой изменений ООП по приказу № 576» (в тексте — «карта»). Подписывать каждую страницу листа не требуется.</w:t>
      </w:r>
    </w:p>
    <w:p>
      <w:pPr>
        <w:pStyle w:val="Heading2"/>
      </w:pPr>
      <w:r>
        <w:t>Сведения о проверке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7285"/>
        <w:gridCol w:w="7285"/>
      </w:tblGrid>
      <w:tr>
        <w:trPr>
          <w:cantSplit/>
          <w:tblHeader/>
        </w:trPr>
        <w:tc>
          <w:tcPr>
            <w:tcW w:type="dxa" w:w="728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Сведения</w:t>
            </w:r>
          </w:p>
        </w:tc>
        <w:tc>
          <w:tcPr>
            <w:tcW w:type="dxa" w:w="728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Заполняет школа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Школа (полное наименование)</w:t>
            </w:r>
          </w:p>
        </w:tc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[наименование]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Дата проверки</w:t>
            </w:r>
          </w:p>
        </w:tc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[дд.мм.гггг]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ООП НОО: наименование, приказ об утверждении (дата, №), версия</w:t>
            </w:r>
          </w:p>
        </w:tc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[реквизиты]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ООП ООО: наименование, приказ об утверждении (дата, №), версия</w:t>
            </w:r>
          </w:p>
        </w:tc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[реквизиты]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ООП СОО: наименование, приказ об утверждении (дата, №), версия</w:t>
            </w:r>
          </w:p>
        </w:tc>
        <w:tc>
          <w:tcPr>
            <w:tcW w:type="dxa" w:w="728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[реквизиты]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Проверку провели (должность, ФИО)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[должность, ФИО]</w:t>
            </w:r>
          </w:p>
        </w:tc>
      </w:tr>
    </w:tbl>
    <w:p>
      <w:pPr>
        <w:spacing w:after="0"/>
      </w:pPr>
    </w:p>
    <w:p>
      <w:pPr>
        <w:pStyle w:val="Heading2"/>
      </w:pPr>
      <w:r>
        <w:t>Как выбирать статус</w:t>
      </w:r>
    </w:p>
    <w:p>
      <w:pPr/>
      <w:r>
        <w:t>В каждой строке предложены только применимые к ней статусы.</w:t>
      </w:r>
    </w:p>
    <w:p>
      <w:pPr>
        <w:ind w:firstLine="0"/>
      </w:pPr>
      <w:r>
        <w:t xml:space="preserve">• </w:t>
      </w:r>
      <w:r/>
      <w:r>
        <w:rPr>
          <w:b/>
        </w:rPr>
        <w:t>Учтено</w:t>
      </w:r>
      <w:r>
        <w:t xml:space="preserve"> — в ООП и рабочих программах уже соответствует применимой редакции.</w:t>
      </w:r>
    </w:p>
    <w:p>
      <w:pPr>
        <w:ind w:firstLine="0"/>
      </w:pPr>
      <w:r>
        <w:t xml:space="preserve">• </w:t>
      </w:r>
      <w:r/>
      <w:r>
        <w:rPr>
          <w:b/>
        </w:rPr>
        <w:t>Нужно исправить</w:t>
      </w:r>
      <w:r>
        <w:t xml:space="preserve"> — запишите, что именно, ответственного и срок в последней колонке.</w:t>
      </w:r>
    </w:p>
    <w:p>
      <w:pPr>
        <w:ind w:firstLine="0"/>
      </w:pPr>
      <w:r>
        <w:t xml:space="preserve">• </w:t>
      </w:r>
      <w:r/>
      <w:r>
        <w:rPr>
          <w:b/>
        </w:rPr>
        <w:t>Неприменимо</w:t>
      </w:r>
      <w:r>
        <w:t xml:space="preserve"> — только с конкретным основанием в последней колонке (например, «язык в школе не изучается», «учебный план по другому варианту, не № 3»). Без основания статус не ставится.</w:t>
      </w:r>
    </w:p>
    <w:p>
      <w:pPr>
        <w:ind w:firstLine="0"/>
      </w:pPr>
      <w:r>
        <w:t xml:space="preserve">• </w:t>
      </w:r>
      <w:r/>
      <w:r>
        <w:rPr>
          <w:b/>
        </w:rPr>
        <w:t>Отложено по норме</w:t>
      </w:r>
      <w:r>
        <w:t xml:space="preserve"> — предложено только в строке 10: содержание обучения и предметные результаты 6–9 классов по английскому, немецкому, французскому и испанскому языкам применяются с 01.09.2027. Отметка ставится, когда в последней колонке записаны дата 01.09.2027, ответственный за проверку актуальности и её срок; если они не записаны, ставьте «нужно исправить». Китайский язык и другие положения под этот статус не подпадают.</w:t>
      </w:r>
    </w:p>
    <w:p>
      <w:pPr>
        <w:ind w:firstLine="0"/>
      </w:pPr>
      <w:r>
        <w:t xml:space="preserve">• </w:t>
      </w:r>
      <w:r>
        <w:t>Если в строке несколько программ и результаты разные (например, литература требует правки, один государственный язык не изучается, а родная литература уже соответствует), повторите строку по каждой программе, языку или уровню либо запишите результат по каждой в последней колонке. Для всей строки «неприменимо» ставят, только если не применима ни одна из входящих в неё программ.</w:t>
      </w:r>
    </w:p>
    <w:p>
      <w:pPr>
        <w:ind w:firstLine="0"/>
      </w:pPr>
      <w:r>
        <w:t xml:space="preserve">• </w:t>
      </w:r>
      <w:r>
        <w:t>Строка 21 — предварительная подготовка до приказа: в ней нет статуса «нужно исправить», потому что срок будущих действий ещё не наступил. Ознакомление учителей и итоговая согласованность программ отмечаются в части Б после утверждения приказа.</w:t>
      </w:r>
    </w:p>
    <w:p>
      <w:pPr>
        <w:pStyle w:val="Heading2"/>
      </w:pPr>
      <w:r>
        <w:t>Проверки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5537"/>
        <w:gridCol w:w="2623"/>
        <w:gridCol w:w="2331"/>
        <w:gridCol w:w="4080"/>
      </w:tblGrid>
      <w:tr>
        <w:trPr>
          <w:cantSplit/>
          <w:tblHeader/>
        </w:trPr>
        <w:tc>
          <w:tcPr>
            <w:tcW w:type="dxa" w:w="5537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№ и проверка</w:t>
            </w:r>
          </w:p>
        </w:tc>
        <w:tc>
          <w:tcPr>
            <w:tcW w:type="dxa" w:w="2623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Где смотреть</w:t>
            </w:r>
          </w:p>
        </w:tc>
        <w:tc>
          <w:tcPr>
            <w:tcW w:type="dxa" w:w="2331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Статус</w:t>
            </w:r>
          </w:p>
        </w:tc>
        <w:tc>
          <w:tcPr>
            <w:tcW w:type="dxa" w:w="4080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Основание, результат по каждой программе / что исправить / ответственный / срок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1.</w:t>
            </w:r>
            <w:r>
              <w:rPr>
                <w:rFonts w:ascii="Liberation Serif" w:hAnsi="Liberation Serif"/>
                <w:sz w:val="22"/>
              </w:rPr>
              <w:t xml:space="preserve"> Определены программы и разделы каждой ООП, затронутые приказом (по карте, 25 строк)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Действующие ООП НОО, ООО, СОО; рабочие программы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2.</w:t>
            </w:r>
            <w:r>
              <w:rPr>
                <w:rFonts w:ascii="Liberation Serif" w:hAnsi="Liberation Serif"/>
                <w:sz w:val="22"/>
              </w:rPr>
              <w:t xml:space="preserve"> Для каждой применяемой программы определено основание (развилка, ч. 6.1, 6.3, 6.4 ст. 12 Федерального закона № 273-ФЗ). Непосредственное применение ФРП: в ООП указана применимая редакция, а воспроизведённый федеральный текст совпадает с ней. Своя программа: содержание и планируемые результаты сверены с новой редакцией, не ниже федеральных и соответствуют другим обязательным требованиям ФГОС и ФОП; менять её нужно только при необходимости. Предметы, ФРП по которым применяются непосредственно обязательно (ч. 6.3), приведены к применимой редакции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Разделы и приложения ООП с программами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[по каждой программе: ФРП непосредственно или своя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3.</w:t>
            </w:r>
            <w:r>
              <w:rPr>
                <w:rFonts w:ascii="Liberation Serif" w:hAnsi="Liberation Serif"/>
                <w:sz w:val="22"/>
              </w:rPr>
              <w:t xml:space="preserve"> Изменения оформляются приказом с фактической датой подписания, без заднего числа; расхождения с положениями, действующими с 24.10.2026, устраняются без собственной отсрочки; ранее изданные акты задним числом не переоформляются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Действующие приказы об утверждении ООП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4.</w:t>
            </w:r>
            <w:r>
              <w:rPr>
                <w:rFonts w:ascii="Liberation Serif" w:hAnsi="Liberation Serif"/>
                <w:sz w:val="22"/>
              </w:rPr>
              <w:t xml:space="preserve"> Отсрочка применена только к содержанию обучения и предметным результатам 6–9 классов по английскому, немецкому, французскому и испанскому; в раздел II Перечня (если школа его составляет) не попали китайский язык, цели, 5 класс, обществознание 9 класса, другие предметы и таблицы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 по иностранным языкам; Перечень изменений (раздел II)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[основание, если школа не вносит отложенные положения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5.</w:t>
            </w:r>
            <w:r>
              <w:rPr>
                <w:rFonts w:ascii="Liberation Serif" w:hAnsi="Liberation Serif"/>
                <w:sz w:val="22"/>
              </w:rPr>
              <w:t xml:space="preserve"> НОО: в литературном чтении (п. 21) исправлены названия «Я видела чудо», «Леля и Минька», «Про обезьянку» в содержании и таблицах планирования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 и поурочное планирование по литературному чтению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6.</w:t>
            </w:r>
            <w:r>
              <w:rPr>
                <w:rFonts w:ascii="Liberation Serif" w:hAnsi="Liberation Serif"/>
                <w:sz w:val="22"/>
              </w:rPr>
              <w:t xml:space="preserve"> НОО: государственные и родные языки, которые изучает школа, сверены с картой (строки Н-2, Н-3, Н-4, Н-5); для остальных записано основание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Учебный план НОО; рабочие программы языков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[по каждому языку: реализуется ли / ФРП непосредственно или своя программа / основание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7.</w:t>
            </w:r>
            <w:r>
              <w:rPr>
                <w:rFonts w:ascii="Liberation Serif" w:hAnsi="Liberation Serif"/>
                <w:sz w:val="22"/>
              </w:rPr>
              <w:t xml:space="preserve"> НОО: литературное чтение на родных коми, корякском, тофаларском языках (строка Н-6) — реализуется ли, подключена ли программа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Учебный план НОО; рабочие программы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[основание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8.</w:t>
            </w:r>
            <w:r>
              <w:rPr>
                <w:rFonts w:ascii="Liberation Serif" w:hAnsi="Liberation Serif"/>
                <w:sz w:val="22"/>
              </w:rPr>
              <w:t xml:space="preserve"> ООО: литература (Ч. Г. Айтматов в перечне прозаиков по выбору), государственные и родные языки, родная коми литература сверены с картой (О-1…О-5)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 литературы и языков; учебный план ООО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[по каждой программе: ФРП непосредственно или своя / основание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9.</w:t>
            </w:r>
            <w:r>
              <w:rPr>
                <w:rFonts w:ascii="Liberation Serif" w:hAnsi="Liberation Serif"/>
                <w:sz w:val="22"/>
              </w:rPr>
              <w:t xml:space="preserve"> ООО: иностранные языки (английский, немецкий, французский, испанский) — цели, 5 класс и остальные части, не названные в отсрочке, приведены в соответствие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 5 классов; планирование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[по каждому языку: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10.</w:t>
            </w:r>
            <w:r>
              <w:rPr>
                <w:rFonts w:ascii="Liberation Serif" w:hAnsi="Liberation Serif"/>
                <w:sz w:val="22"/>
              </w:rPr>
              <w:t xml:space="preserve"> ООО: содержание обучения и предметные результаты 6–9 классов по английскому, немецкому, французскому, испанскому применяются с 01.09.2027; назначена проверка актуальности перед этой датой. Если тематическое планирование 6–9 классов (оно действует с 24.10.2026) расходится с прежним содержанием, переходный порядок в приказе не указан: вопрос передан администрации и при необходимости органу управления образованием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 6–9 классов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неприменимо; [ ] отложено по норме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[дата 01.09.2027 / ответственный за проверку актуальности / срок проверки / запись о вопросе по планированию, если он есть]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11.</w:t>
            </w:r>
            <w:r>
              <w:rPr>
                <w:rFonts w:ascii="Liberation Serif" w:hAnsi="Liberation Serif"/>
                <w:sz w:val="22"/>
              </w:rPr>
              <w:t xml:space="preserve"> ООО: китайский язык (п. 140) — цели, ключевые результаты, содержание, результаты, планирование сверены без отсрочки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Рабочая программа по китайскому языку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[основание, если язык не изучается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12.</w:t>
            </w:r>
            <w:r>
              <w:rPr>
                <w:rFonts w:ascii="Liberation Serif" w:hAnsi="Liberation Serif"/>
                <w:sz w:val="22"/>
              </w:rPr>
              <w:t xml:space="preserve"> ООО: история (исключённые абзацы, кодификаторы п. 150.10–150.11) и обществознание 9 класса (п. 151.3–151.7); новая редакция обществознания 9 класса применяется с 24.10.2026, отсрочки нет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 истории и обществознания 9 класса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поправить в программе и оставшихся занятиях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13.</w:t>
            </w:r>
            <w:r>
              <w:rPr>
                <w:rFonts w:ascii="Liberation Serif" w:hAnsi="Liberation Serif"/>
                <w:sz w:val="22"/>
              </w:rPr>
              <w:t xml:space="preserve"> ООО: ОБЗР — новая редакция программы (п. 162¹); содержание рабочей программы выстроено по двум курсам внутри одного предмета: «Начальная военная подготовка» и «Безопасность жизнедеятельности». Отдельные предметы и дополнительные часы автоматически не добавляются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Рабочая программа ОБЗР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14.</w:t>
            </w:r>
            <w:r>
              <w:rPr>
                <w:rFonts w:ascii="Liberation Serif" w:hAnsi="Liberation Serif"/>
                <w:sz w:val="22"/>
              </w:rPr>
              <w:t xml:space="preserve"> ООО: если используется вариант № 3 шестидневной недели — проверена физика в 9 классе (3 часа), итог обязательной части 9 класса (34), часть, формируемая участниками (2); при другом варианте основание записано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Учебный план ООО; расписание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[вариант плана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15.</w:t>
            </w:r>
            <w:r>
              <w:rPr>
                <w:rFonts w:ascii="Liberation Serif" w:hAnsi="Liberation Serif"/>
                <w:sz w:val="22"/>
              </w:rPr>
              <w:t xml:space="preserve"> ООО: план внеурочной деятельности не превышает 340 часов в год и 1700 часов за пять лет; в тексте ООП значения 350 и 1750 заменены на 340 и 1700 (если запланировано меньше, часы не сокращают, но текст исправляют)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План внеурочной деятельности ООО; текст ООП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16.</w:t>
            </w:r>
            <w:r>
              <w:rPr>
                <w:rFonts w:ascii="Liberation Serif" w:hAnsi="Liberation Serif"/>
                <w:sz w:val="22"/>
              </w:rPr>
              <w:t xml:space="preserve"> СОО: адыгейский язык, родной хакасский язык и родная хакасская литература (углублённый уровень), родная коми литература (С-1…С-3); исключённая программа родной украинской литературы (С-4): основание применяемой школьной программы проверено, вопрос продолжения обучения, если он есть, передан администрации и органу управления образованием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Учебный план СОО; рабочие программы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[по каждой программе: ФРП непосредственно или своя / основание / 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17.</w:t>
            </w:r>
            <w:r>
              <w:rPr>
                <w:rFonts w:ascii="Liberation Serif" w:hAnsi="Liberation Serif"/>
                <w:sz w:val="22"/>
              </w:rPr>
              <w:t xml:space="preserve"> СОО: обществознание (п. 123¹) — содержание и результаты 10 класса, таблица 19.1, кодификаторы; число часов в плане сверено с программой, 119→102 не принято за автоматическое сокращение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Рабочая программа; учебный план СОО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18.</w:t>
            </w:r>
            <w:r>
              <w:rPr>
                <w:rFonts w:ascii="Liberation Serif" w:hAnsi="Liberation Serif"/>
                <w:sz w:val="22"/>
              </w:rPr>
              <w:t xml:space="preserve"> СОО: ОБЗР — новая редакция программы (п. 127¹); содержание рабочей программы выстроено по двум курсам внутри одного предмета: «Начальная военная подготовка» и «Безопасность жизнедеятельности». Отдельные предметы и дополнительные часы автоматически не добавляются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Рабочая программа ОБЗР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19.</w:t>
            </w:r>
            <w:r>
              <w:rPr>
                <w:rFonts w:ascii="Liberation Serif" w:hAnsi="Liberation Serif"/>
                <w:sz w:val="22"/>
              </w:rPr>
              <w:t xml:space="preserve"> СОО: внеурочная деятельность не превышает 680 часов за два года; в тексте ООП значение 700 заменено на 680 (если запланировано меньше, часы не сокращают, но текст исправляют)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План внеурочной деятельности СОО; текст ООП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20.</w:t>
            </w:r>
            <w:r>
              <w:rPr>
                <w:rFonts w:ascii="Liberation Serif" w:hAnsi="Liberation Serif"/>
                <w:sz w:val="22"/>
              </w:rPr>
              <w:t xml:space="preserve"> СОО: п. 133.9 — учебные сборы для 10 классов (в форме внеурочной деятельности) проводятся и отражены в плане внеурочной деятельности; формы определены школой. Соотнесение программ внеурочной деятельности с профилем — рекомендация («рекомендуется ориентироваться»); её отсутствие не считается нарушением и в статус не засчитывается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План внеурочной деятельности СОО; организационный раздел ООП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учтено; [ ] нужно исправить; [ ] неприменимо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[что исправить / ответственный / срок; по желанию — комментарий о профильной увязке]</w:t>
            </w:r>
          </w:p>
        </w:tc>
      </w:tr>
      <w:tr>
        <w:trPr>
          <w:cantSplit/>
        </w:trPr>
        <w:tc>
          <w:tcPr>
            <w:tcW w:type="dxa" w:w="553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21.</w:t>
            </w:r>
            <w:r>
              <w:rPr>
                <w:rFonts w:ascii="Liberation Serif" w:hAnsi="Liberation Serif"/>
                <w:sz w:val="22"/>
              </w:rPr>
              <w:t xml:space="preserve"> Предварительная подготовка: определено, какие рабочие программы, тематическое планирование и расписание придётся согласовать с изменёнными ООП; назначены ответственные и сроки (ознакомление учителей и итоговая сверка — в части Б после утверждения приказа)</w:t>
            </w:r>
          </w:p>
        </w:tc>
        <w:tc>
          <w:tcPr>
            <w:tcW w:type="dxa" w:w="2623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программы; расписание; перечень затронутых программ</w:t>
            </w:r>
          </w:p>
        </w:tc>
        <w:tc>
          <w:tcPr>
            <w:tcW w:type="dxa" w:w="233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подготовлено; [ ] не затрагивается</w:t>
            </w:r>
          </w:p>
        </w:tc>
        <w:tc>
          <w:tcPr>
            <w:tcW w:type="dxa" w:w="4080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[перечень программ / ответственный / запланированный срок]</w:t>
            </w:r>
          </w:p>
        </w:tc>
      </w:tr>
    </w:tbl>
    <w:p>
      <w:pPr>
        <w:spacing w:after="0"/>
      </w:pPr>
    </w:p>
    <w:p>
      <w:pPr>
        <w:pStyle w:val="Heading2"/>
      </w:pPr>
      <w:r>
        <w:t>Итоговое решение</w:t>
      </w:r>
    </w:p>
    <w:p>
      <w:pPr/>
      <w:r/>
      <w:r>
        <w:rPr>
          <w:b/>
        </w:rPr>
        <w:t>Часть А. Результат сверки</w:t>
      </w:r>
      <w:r>
        <w:t xml:space="preserve"> (заполняется до приказа; отметьте один вариант):</w:t>
      </w:r>
    </w:p>
    <w:p>
      <w:pPr>
        <w:ind w:firstLine="0"/>
      </w:pPr>
      <w:r>
        <w:t xml:space="preserve">• </w:t>
      </w:r>
      <w:r>
        <w:t>[ ] изменения в ООП не требуются, отложенных положений у школы нет;</w:t>
      </w:r>
    </w:p>
    <w:p>
      <w:pPr>
        <w:ind w:firstLine="0"/>
      </w:pPr>
      <w:r>
        <w:t xml:space="preserve">• </w:t>
      </w:r>
      <w:r>
        <w:t>[ ] изменения сейчас не требуются; есть только положения, применяемые с 01.09.2027, проверка назначена (строка 10);</w:t>
      </w:r>
    </w:p>
    <w:p>
      <w:pPr>
        <w:ind w:firstLine="0"/>
      </w:pPr>
      <w:r>
        <w:t xml:space="preserve">• </w:t>
      </w:r>
      <w:r>
        <w:t>[ ] требуются изменения, отложенных положений в Перечне нет: подготовить приказ и Перечень изменений (шаблон приказа из комплекта);</w:t>
      </w:r>
    </w:p>
    <w:p>
      <w:pPr>
        <w:ind w:firstLine="0"/>
      </w:pPr>
      <w:r>
        <w:t xml:space="preserve">• </w:t>
      </w:r>
      <w:r>
        <w:t>[ ] требуются изменения, и часть положений применяется с 01.09.2027 (если школа включает их в приказ заранее — раздел II Перечня; утверждать их заранее не обязательно).</w:t>
      </w:r>
    </w:p>
    <w:p>
      <w:pPr/>
      <w:r/>
      <w:r>
        <w:rPr>
          <w:b/>
        </w:rPr>
        <w:t>Часть Б. Оформление, ознакомление и размещение</w:t>
      </w:r>
      <w:r>
        <w:t xml:space="preserve"> (заполняется после соблюдения процедуры и подписания приказа; если приказ о внесении изменений не издавался, пропустить; при досрочном утверждении только будущих изменений часть Б заполняется после подписания приказа).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7285"/>
        <w:gridCol w:w="7285"/>
      </w:tblGrid>
      <w:tr>
        <w:trPr>
          <w:cantSplit/>
          <w:tblHeader/>
        </w:trPr>
        <w:tc>
          <w:tcPr>
            <w:tcW w:type="dxa" w:w="728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Сведения</w:t>
            </w:r>
          </w:p>
        </w:tc>
        <w:tc>
          <w:tcPr>
            <w:tcW w:type="dxa" w:w="728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Заполняет школа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Орган, принимающий решение по уставу, и положение устава (если решение принималось)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[наименование органа, ссылка на положение устава, реквизиты решения]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Мнения советов обучающихся, советов родителей, представительных органов обучающихся (ст. 30 Федерального закона № 273-ФЗ), а представительных органов работников — в порядке и случаях, предусмотренных трудовым законодательством: запрашивались и учтены до подписания приказа, если такие органы есть и изменения затрагивают права обучающихся или работников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[перечень органов и реквизиты документов, либо запись, что таких органов в школе нет]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Приказ о внесении изменений: дата фактического подписания, номер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[дд.мм.гггг, №]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Ознакомление педагогических работников с изменениями: дата и способ, принятый в школе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[дд.мм.гггг; способ]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Рабочие программы, тематическое планирование и расписание соответствуют положениям ООП, применяемым сейчас, и реальному обучению; положения, утверждённые на будущее, проверяются к началу их применения, начинать обучение по ним сразу не требуется (проверка после приказа)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да; [ ] нет — что исправить: [запись, срок]; [ ] ещё не выполнялась — срок: [дд.мм.гггг]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Размещение на официальном сайте: не позднее 10 рабочих дней со дня внесения изменений (п. 16 Правил, утверждённых постановлением Правительства от 20.10.2021 № 1802). Адрес страницы и дата размещения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[адрес, дд.мм.гггг]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Проверка доступности файлов: открываются, версия на сайте совпадает с утверждённой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 ] да; [ ] нет — что исправить: [запись]; [ ] ещё не выполнялась — срок: [дд.мм.гггг]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Дата проверки доступности файлов; проверку провёл (должность, ФИО)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[дд.мм.гггг; должность, ФИО]</w:t>
            </w:r>
          </w:p>
        </w:tc>
      </w:tr>
      <w:tr>
        <w:trPr>
          <w:cantSplit/>
        </w:trPr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Дата проверки актуальности отложенных положений (только если они есть; не позднее начала их применения)</w:t>
            </w:r>
          </w:p>
        </w:tc>
        <w:tc>
          <w:tcPr>
            <w:tcW w:type="dxa" w:w="72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[дд.мм.гггг]</w:t>
            </w:r>
          </w:p>
        </w:tc>
      </w:tr>
    </w:tbl>
    <w:p>
      <w:pPr>
        <w:spacing w:after="0"/>
      </w:pPr>
    </w:p>
    <w:p>
      <w:pPr/>
      <w:r>
        <w:t>Подпись лица, заполнившего лист, ставится по решению школы: [подпись, расшифровка]. Обязательной подписи директора на каждом листе нет.</w:t>
      </w:r>
    </w:p>
    <w:p>
      <w:pPr>
        <w:pStyle w:val="Heading2"/>
      </w:pPr>
      <w:r>
        <w:t>Источники</w:t>
      </w:r>
    </w:p>
    <w:p>
      <w:pPr>
        <w:ind w:firstLine="0"/>
      </w:pPr>
      <w:r>
        <w:t xml:space="preserve">• </w:t>
      </w:r>
      <w:hyperlink r:id="rId10">
        <w:r>
          <w:rPr>
            <w:color w:val="184B73"/>
            <w:u w:val="single"/>
          </w:rPr>
          <w:t>Приказ Минпросвещения России от 19.08.2026 № 576 на портале правовой информации</w:t>
        </w:r>
      </w:hyperlink>
    </w:p>
    <w:p>
      <w:pPr>
        <w:ind w:firstLine="0"/>
      </w:pPr>
      <w:r>
        <w:t xml:space="preserve">• </w:t>
      </w:r>
      <w:r>
        <w:t xml:space="preserve">Минюст России: </w:t>
      </w:r>
      <w:hyperlink r:id="rId11">
        <w:r>
          <w:rPr>
            <w:color w:val="184B73"/>
            <w:u w:val="single"/>
          </w:rPr>
          <w:t>часть 1 приказа</w:t>
        </w:r>
      </w:hyperlink>
      <w:r>
        <w:t xml:space="preserve"> и </w:t>
      </w:r>
      <w:hyperlink r:id="rId12">
        <w:r>
          <w:rPr>
            <w:color w:val="184B73"/>
            <w:u w:val="single"/>
          </w:rPr>
          <w:t>часть 2 приказа</w:t>
        </w:r>
      </w:hyperlink>
    </w:p>
    <w:p>
      <w:pPr>
        <w:ind w:firstLine="0"/>
      </w:pPr>
      <w:r>
        <w:t xml:space="preserve">• </w:t>
      </w:r>
      <w:r>
        <w:t xml:space="preserve">Федеральный закон от 29.12.2012 № 273-ФЗ: </w:t>
      </w:r>
      <w:hyperlink r:id="rId13">
        <w:r>
          <w:rPr>
            <w:color w:val="184B73"/>
            <w:u w:val="single"/>
          </w:rPr>
          <w:t>статья 12</w:t>
        </w:r>
      </w:hyperlink>
      <w:r>
        <w:t xml:space="preserve"> (ч. 6.1, 6.3, 6.4), </w:t>
      </w:r>
      <w:hyperlink r:id="rId14">
        <w:r>
          <w:rPr>
            <w:color w:val="184B73"/>
            <w:u w:val="single"/>
          </w:rPr>
          <w:t>статья 28</w:t>
        </w:r>
      </w:hyperlink>
      <w:r>
        <w:t xml:space="preserve"> и </w:t>
      </w:r>
      <w:hyperlink r:id="rId15">
        <w:r>
          <w:rPr>
            <w:color w:val="184B73"/>
            <w:u w:val="single"/>
          </w:rPr>
          <w:t>статья 30</w:t>
        </w:r>
      </w:hyperlink>
    </w:p>
    <w:p>
      <w:pPr>
        <w:ind w:firstLine="0"/>
      </w:pPr>
      <w:r>
        <w:t xml:space="preserve">• </w:t>
      </w:r>
      <w:hyperlink r:id="rId16">
        <w:r>
          <w:rPr>
            <w:color w:val="184B73"/>
            <w:u w:val="single"/>
          </w:rPr>
          <w:t>Постановление Правительства от 20.10.2021 № 1802, Правила размещения информации на сайте образовательной организации, п. 16 (legalacts.ru)</w:t>
        </w:r>
      </w:hyperlink>
      <w:r>
        <w:t xml:space="preserve"> и </w:t>
      </w:r>
      <w:hyperlink r:id="rId17">
        <w:r>
          <w:rPr>
            <w:color w:val="184B73"/>
            <w:u w:val="single"/>
          </w:rPr>
          <w:t>то же в системе Гарант</w:t>
        </w:r>
      </w:hyperlink>
    </w:p>
    <w:p>
      <w:pPr/>
      <w:r>
        <w:t>Дата подготовки формы: 25.10.2026.</w:t>
      </w:r>
    </w:p>
    <w:sectPr w:rsidR="00FC693F" w:rsidRPr="0006063C" w:rsidSect="00034616">
      <w:headerReference w:type="default" r:id="rId9"/>
      <w:pgSz w:w="16838" w:h="11906" w:orient="landscape"/>
      <w:pgMar w:top="1134" w:right="1134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20"/>
    </w:pPr>
    <w:rPr>
      <w:rFonts w:ascii="Liberation Serif" w:hAnsi="Liberation Serif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ind w:firstLine="0"/>
      <w:outlineLvl w:val="0"/>
    </w:pPr>
    <w:rPr>
      <w:rFonts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ind w:firstLine="0"/>
      <w:outlineLvl w:val="1"/>
    </w:pPr>
    <w:rPr>
      <w:rFonts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ind w:firstLine="0"/>
      <w:outlineLvl w:val="2"/>
    </w:pPr>
    <w:rPr>
      <w:rFonts w:ascii="Liberation Serif" w:hAnsi="Liberation Serif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80"/>
      <w:ind w:firstLine="0"/>
      <w:contextualSpacing/>
    </w:pPr>
    <w:rPr>
      <w:rFonts w:ascii="Liberation Serif" w:hAnsi="Liberation Serif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64" w:lineRule="auto"/>
    </w:pPr>
    <w:rPr>
      <w:rFonts w:ascii="Liberation Serif" w:hAnsi="Liberation Serif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publication.pravo.gov.ru/document/0001202610130011" TargetMode="External"/><Relationship Id="rId11" Type="http://schemas.openxmlformats.org/officeDocument/2006/relationships/hyperlink" Target="https://minjust.consultant.ru/documents/60758" TargetMode="External"/><Relationship Id="rId12" Type="http://schemas.openxmlformats.org/officeDocument/2006/relationships/hyperlink" Target="https://minjust.consultant.ru/documents/60759" TargetMode="External"/><Relationship Id="rId13" Type="http://schemas.openxmlformats.org/officeDocument/2006/relationships/hyperlink" Target="https://www.consultant.ru/document/cons_doc_LAW_140174/38e6fc208f73b94f1595dbebf3aafb62c3f41281/" TargetMode="External"/><Relationship Id="rId14" Type="http://schemas.openxmlformats.org/officeDocument/2006/relationships/hyperlink" Target="https://www.consultant.ru/document/cons_doc_LAW_140174/552097cad5942f36c9484dbde7ebf92db1f783f3/" TargetMode="External"/><Relationship Id="rId15" Type="http://schemas.openxmlformats.org/officeDocument/2006/relationships/hyperlink" Target="https://www.consultant.ru/document/cons_doc_LAW_140174/8f3360b0a85cddcb4c937bf8a5a92b1c86ef103d/" TargetMode="External"/><Relationship Id="rId16" Type="http://schemas.openxmlformats.org/officeDocument/2006/relationships/hyperlink" Target="https://legalacts.ru/doc/postanovlenie-pravitelstva-rf-ot-20102021-n-1802-ob-utverzhdenii/" TargetMode="External"/><Relationship Id="rId17" Type="http://schemas.openxmlformats.org/officeDocument/2006/relationships/hyperlink" Target="https://base.garant.ru/40296188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