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52184fd2f5e8b45595ca9c4151f7953d440e91"/>
    <w:p>
      <w:pPr>
        <w:pStyle w:val="Heading1"/>
        <w:widowControl/>
        <w:ind w:firstLine="0"/>
      </w:pPr>
      <w:r>
        <w:t xml:space="preserve">Инструкция: как использовать три шаблона для педсовета по итогам I четверти</w:t>
      </w:r>
    </w:p>
    <w:bookmarkStart w:id="20" w:name="кому-и-зачем"/>
    <w:p>
      <w:pPr>
        <w:pStyle w:val="Heading2"/>
        <w:widowControl/>
        <w:ind w:firstLine="0"/>
      </w:pPr>
      <w:r>
        <w:t xml:space="preserve">Кому и зачем</w:t>
      </w:r>
    </w:p>
    <w:p>
      <w:pPr>
        <w:pStyle w:val="FirstParagraph"/>
        <w:widowControl/>
      </w:pPr>
      <w:r>
        <w:t xml:space="preserve">Набор нужен директору, заместителю директора по УВР и секретарю совета. Он не обязывает проводить отдельное заседание и не добавляет обязательных документов: нужен ли такой педсовет, определяют устав, положение о педагогическом совете и план работы школы.</w:t>
      </w:r>
    </w:p>
    <w:p>
      <w:pPr>
        <w:pStyle w:val="BodyText"/>
        <w:widowControl/>
      </w:pPr>
      <w:r>
        <w:t xml:space="preserve">Шаблоны помогают связать решения протокола с поручениями приказа. Значения в полях (даты, исполнителей, сроки) вы вносите сами, поэтому после заполнения сверьте их между документами.</w:t>
      </w:r>
    </w:p>
    <w:p>
      <w:pPr>
        <w:widowControl/>
        <w:numPr>
          <w:ilvl w:val="0"/>
          <w:numId w:val="1001"/>
        </w:numPr>
        <w:pStyle w:val="Compact"/>
      </w:pPr>
      <w:r>
        <w:rPr>
          <w:rStyle w:val="VerbatimChar"/>
        </w:rPr>
        <w:t xml:space="preserve">01-prikaz-provedenie</w:t>
      </w:r>
      <w:r>
        <w:t xml:space="preserve"> </w:t>
      </w:r>
      <w:r>
        <w:t xml:space="preserve">— приказ о проведении (до заседания).</w:t>
      </w:r>
    </w:p>
    <w:p>
      <w:pPr>
        <w:widowControl/>
        <w:numPr>
          <w:ilvl w:val="0"/>
          <w:numId w:val="1001"/>
        </w:numPr>
        <w:pStyle w:val="Compact"/>
      </w:pPr>
      <w:r>
        <w:rPr>
          <w:rStyle w:val="VerbatimChar"/>
        </w:rPr>
        <w:t xml:space="preserve">02-protokol</w:t>
      </w:r>
      <w:r>
        <w:t xml:space="preserve"> </w:t>
      </w:r>
      <w:r>
        <w:t xml:space="preserve">— протокол с приложением 1 (лист регистрации).</w:t>
      </w:r>
    </w:p>
    <w:p>
      <w:pPr>
        <w:widowControl/>
        <w:numPr>
          <w:ilvl w:val="0"/>
          <w:numId w:val="1001"/>
        </w:numPr>
        <w:pStyle w:val="Compact"/>
      </w:pPr>
      <w:r>
        <w:rPr>
          <w:rStyle w:val="VerbatimChar"/>
        </w:rPr>
        <w:t xml:space="preserve">03-prikaz-itogi</w:t>
      </w:r>
      <w:r>
        <w:t xml:space="preserve"> </w:t>
      </w:r>
      <w:r>
        <w:t xml:space="preserve">— приказ по итогам (после подписания протокола, если директор решил закрепить решения приказом).</w:t>
      </w:r>
    </w:p>
    <w:bookmarkEnd w:id="20"/>
    <w:bookmarkStart w:id="23" w:name="что-проверить-до-начала"/>
    <w:p>
      <w:pPr>
        <w:pStyle w:val="Heading2"/>
        <w:widowControl/>
        <w:ind w:firstLine="0"/>
      </w:pPr>
      <w:r>
        <w:t xml:space="preserve">Что проверить до начала</w:t>
      </w:r>
    </w:p>
    <w:p>
      <w:pPr>
        <w:pStyle w:val="FirstParagraph"/>
        <w:widowControl/>
      </w:pPr>
      <w:r>
        <w:t xml:space="preserve">Сверьте с локальными актами: состав совета, условие правомочности, порядок принятия решений, порядок избрания председателя и секретаря, положение об оценивании. Закон относит порядок работы коллегиальных органов к уставу (ст. 26, ч. 4–5 273-ФЗ;</w:t>
      </w:r>
      <w:r>
        <w:t xml:space="preserve"> </w:t>
      </w:r>
      <w:hyperlink r:id="rId21">
        <w:r>
          <w:rPr>
            <w:rStyle w:val="Hyperlink"/>
          </w:rPr>
          <w:t xml:space="preserve">актуальный текст</w:t>
        </w:r>
      </w:hyperlink>
      <w:r>
        <w:t xml:space="preserve">), поэтому в шаблонах нет фиксированного кворума и вида голосования.</w:t>
      </w:r>
    </w:p>
    <w:p>
      <w:pPr>
        <w:pStyle w:val="BodyText"/>
        <w:widowControl/>
      </w:pPr>
      <w:r>
        <w:t xml:space="preserve">Низкая четвертная отметка сама по себе не означает академическую задолженность и не становится промежуточной аттестацией. Формы и порядок промежуточной аттестации определяют учебный план и порядок школы.</w:t>
      </w:r>
    </w:p>
    <w:p>
      <w:pPr>
        <w:pStyle w:val="BodyText"/>
        <w:widowControl/>
      </w:pPr>
      <w:r>
        <w:t xml:space="preserve">Академическая задолженность возникает по одному из двух равноправных оснований: неудовлетворительные результаты промежуточной аттестации по одному или нескольким предметам либо непрохождение промежуточной аттестации без уважительных причин (ст. 58, ч. 2 273-ФЗ;</w:t>
      </w:r>
      <w:r>
        <w:t xml:space="preserve"> </w:t>
      </w:r>
      <w:hyperlink r:id="rId22">
        <w:r>
          <w:rPr>
            <w:rStyle w:val="Hyperlink"/>
          </w:rPr>
          <w:t xml:space="preserve">текст статьи</w:t>
        </w:r>
      </w:hyperlink>
      <w:r>
        <w:t xml:space="preserve">).</w:t>
      </w:r>
    </w:p>
    <w:p>
      <w:pPr>
        <w:pStyle w:val="BodyText"/>
        <w:widowControl/>
        <w:ind w:firstLine="0"/>
        <w:jc w:val="left"/>
      </w:pPr>
      <w:r>
        <w:rPr>
          <w:bCs/>
          <w:b/>
        </w:rPr>
        <w:t xml:space="preserve">Председатель и секретарь.</w:t>
      </w:r>
      <w:r>
        <w:t xml:space="preserve"> </w:t>
      </w:r>
      <w:r>
        <w:t xml:space="preserve">Приказ их не назначает вопреки уставу: в п. 1 приказа 01 укажите ФИО, если порядок это допускает, или способ избрания на заседании.</w:t>
      </w:r>
    </w:p>
    <w:p>
      <w:pPr>
        <w:pStyle w:val="BodyText"/>
        <w:widowControl/>
      </w:pPr>
      <w:r>
        <w:rPr>
          <w:bCs/>
          <w:b/>
        </w:rPr>
        <w:t xml:space="preserve">Повестка.</w:t>
      </w:r>
      <w:r>
        <w:t xml:space="preserve"> </w:t>
      </w:r>
      <w:r>
        <w:t xml:space="preserve">Если устав или положение предполагает, что повестку утверждает сам совет, приказ определяет только её проект (так и сформулирован п. 2). Тогда утверждение повестки внесите в протокол по факту.</w:t>
      </w:r>
    </w:p>
    <w:bookmarkEnd w:id="23"/>
    <w:bookmarkStart w:id="24" w:name="последовательность"/>
    <w:p>
      <w:pPr>
        <w:pStyle w:val="Heading2"/>
        <w:widowControl/>
        <w:ind w:firstLine="0"/>
      </w:pPr>
      <w:r>
        <w:t xml:space="preserve">Последовательность</w:t>
      </w:r>
    </w:p>
    <w:p>
      <w:pPr>
        <w:widowControl/>
        <w:numPr>
          <w:ilvl w:val="0"/>
          <w:numId w:val="1002"/>
        </w:numPr>
        <w:pStyle w:val="Compact"/>
      </w:pPr>
      <w:r>
        <w:t xml:space="preserve">Подпишите приказ 01 до заседания, с фактической датой.</w:t>
      </w:r>
    </w:p>
    <w:p>
      <w:pPr>
        <w:widowControl/>
        <w:numPr>
          <w:ilvl w:val="0"/>
          <w:numId w:val="1002"/>
        </w:numPr>
        <w:pStyle w:val="Compact"/>
      </w:pPr>
      <w:r>
        <w:t xml:space="preserve">Завуч собирает обезличенную сводку по журналам и уже выполненным работам. Новые справки у учителей не запрашиваются.</w:t>
      </w:r>
    </w:p>
    <w:p>
      <w:pPr>
        <w:widowControl/>
        <w:numPr>
          <w:ilvl w:val="0"/>
          <w:numId w:val="1002"/>
        </w:numPr>
        <w:pStyle w:val="Compact"/>
      </w:pPr>
      <w:r>
        <w:t xml:space="preserve">Проведите заседание; секретарь записывает факты в протокол 02 и собирает лист регистрации (приложение 1). Приглашённые отмечаются отдельно и не голосуют.</w:t>
      </w:r>
    </w:p>
    <w:p>
      <w:pPr>
        <w:widowControl/>
        <w:numPr>
          <w:ilvl w:val="0"/>
          <w:numId w:val="1002"/>
        </w:numPr>
        <w:pStyle w:val="Compact"/>
      </w:pPr>
      <w:r>
        <w:t xml:space="preserve">Перед подписью замените примерные формулировки «Решили» принятыми фактически, лишнее удалите. Голосование и «Решение принято / не принято» укажите по каждому вопросу.</w:t>
      </w:r>
    </w:p>
    <w:p>
      <w:pPr>
        <w:widowControl/>
        <w:numPr>
          <w:ilvl w:val="0"/>
          <w:numId w:val="1002"/>
        </w:numPr>
        <w:pStyle w:val="Compact"/>
      </w:pPr>
      <w:r>
        <w:t xml:space="preserve">После подписания протокола приказ 03 издаётся при необходимости, по порядку, принятому в школе; он не обязателен во всех случаях. Если приказ издаётся, каждый его пункт ссылается на пункт протокола.</w:t>
      </w:r>
    </w:p>
    <w:p>
      <w:pPr>
        <w:widowControl/>
        <w:numPr>
          <w:ilvl w:val="0"/>
          <w:numId w:val="1002"/>
        </w:numPr>
        <w:pStyle w:val="Compact"/>
      </w:pPr>
      <w:r>
        <w:t xml:space="preserve">Контрольный срок ставьте позже сроков подготовки и проверки.</w:t>
      </w:r>
    </w:p>
    <w:bookmarkEnd w:id="24"/>
    <w:bookmarkStart w:id="25" w:name="три-основных-вопроса"/>
    <w:p>
      <w:pPr>
        <w:pStyle w:val="Heading2"/>
        <w:widowControl/>
        <w:ind w:firstLine="0"/>
      </w:pPr>
      <w:r>
        <w:t xml:space="preserve">Три основных вопроса</w:t>
      </w:r>
    </w:p>
    <w:p>
      <w:pPr>
        <w:widowControl/>
        <w:numPr>
          <w:ilvl w:val="0"/>
          <w:numId w:val="1003"/>
        </w:numPr>
        <w:pStyle w:val="Compact"/>
      </w:pPr>
      <w:r>
        <w:rPr>
          <w:bCs/>
          <w:b/>
        </w:rPr>
        <w:t xml:space="preserve">Итоги:</w:t>
      </w:r>
      <w:r>
        <w:t xml:space="preserve"> </w:t>
      </w:r>
      <w:r>
        <w:t xml:space="preserve">по классам и предметам, по обезличенной сводке. Форма сводки: класс/предмет, сколько работ оценено, сколько обучающихся без четвертной отметки, затруднения по имеющимся работам, вывод. Проценты не нужны.</w:t>
      </w:r>
    </w:p>
    <w:p>
      <w:pPr>
        <w:widowControl/>
        <w:numPr>
          <w:ilvl w:val="0"/>
          <w:numId w:val="1003"/>
        </w:numPr>
        <w:pStyle w:val="Compact"/>
      </w:pPr>
      <w:r>
        <w:rPr>
          <w:bCs/>
          <w:b/>
        </w:rPr>
        <w:t xml:space="preserve">Помощь:</w:t>
      </w:r>
      <w:r>
        <w:t xml:space="preserve"> </w:t>
      </w:r>
      <w:r>
        <w:t xml:space="preserve">способ, исполнитель, период, проверяемое умение и признак освоения.</w:t>
      </w:r>
    </w:p>
    <w:p>
      <w:pPr>
        <w:widowControl/>
        <w:numPr>
          <w:ilvl w:val="0"/>
          <w:numId w:val="1003"/>
        </w:numPr>
        <w:pStyle w:val="Compact"/>
      </w:pPr>
      <w:r>
        <w:rPr>
          <w:bCs/>
          <w:b/>
        </w:rPr>
        <w:t xml:space="preserve">Контроль:</w:t>
      </w:r>
      <w:r>
        <w:t xml:space="preserve"> </w:t>
      </w:r>
      <w:r>
        <w:t xml:space="preserve">выполнение каждого решения, включая дополнительные вопросы, у всех исполнителей. Причины невыполнения готовит ответственный; изменить решение вправе орган, указанный в уставе.</w:t>
      </w:r>
    </w:p>
    <w:bookmarkEnd w:id="25"/>
    <w:bookmarkStart w:id="26" w:name="дополнительные-вопросы"/>
    <w:p>
      <w:pPr>
        <w:pStyle w:val="Heading2"/>
        <w:widowControl/>
        <w:ind w:firstLine="0"/>
      </w:pPr>
      <w:r>
        <w:t xml:space="preserve">Дополнительные вопросы</w:t>
      </w:r>
    </w:p>
    <w:p>
      <w:pPr>
        <w:pStyle w:val="FirstParagraph"/>
        <w:widowControl/>
      </w:pPr>
      <w:r>
        <w:t xml:space="preserve">Четвёртый вопрос заполняйте только при необходимости: педсовет не должен проверять все службы. Если вопросов несколько, продублируйте блок и пронумеруйте. Темы, которые решает другой орган, не включайте.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  <w:cantSplit/>
          <w:tblHeader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Тема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Пример вопроса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Возможное решение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Кто исполняет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Обучение детей с ОВЗ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Как согласованы условия работы с адаптированными программами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Уточнить порядок взаимодействия учителей и специалистов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Завуч, педагог-психолог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Безопасность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Выполнен ли план мероприятий четверти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Назначить срок устранения замечаний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Ответственный за безопасность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Охрана здоровья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Организация режима и питания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Внести предложения в работу службы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Ответственный по приказу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Профилактика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Какие мероприятия проведены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Скорректировать план профилактики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Социальный педагог, классные руководители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Воспитательная работа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Что выполнено из плана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Перенести или изменить мероприятия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Заместитель директора по ВР</w:t>
            </w:r>
          </w:p>
        </w:tc>
      </w:tr>
    </w:tbl>
    <w:p>
      <w:pPr>
        <w:pStyle w:val="BodyText"/>
        <w:widowControl/>
      </w:pPr>
      <w:r>
        <w:t xml:space="preserve">Личные сведения детей в общий протокол не включайте. Вопросы безопасности рассматривайте по действующим требованиям и в пределах компетенции школы; конкретные обязательные мероприятия эта форма не устанавливает.</w:t>
      </w:r>
    </w:p>
    <w:bookmarkEnd w:id="26"/>
    <w:bookmarkStart w:id="27" w:name="условный-пример-не-для-копирования"/>
    <w:p>
      <w:pPr>
        <w:pStyle w:val="Heading2"/>
        <w:widowControl/>
        <w:ind w:firstLine="0"/>
      </w:pPr>
      <w:r>
        <w:t xml:space="preserve">Условный пример (не для копирования)</w:t>
      </w:r>
    </w:p>
    <w:p>
      <w:pPr>
        <w:pStyle w:val="FirstParagraph"/>
        <w:widowControl/>
      </w:pPr>
      <w:r>
        <w:t xml:space="preserve">Заседание — 06.11.2026 (пятница). Сводка готова к 05.11. Календарь другой школы может быть иным.</w:t>
      </w:r>
    </w:p>
    <w:p>
      <w:pPr>
        <w:widowControl/>
        <w:numPr>
          <w:ilvl w:val="0"/>
          <w:numId w:val="1004"/>
        </w:numPr>
        <w:pStyle w:val="Compact"/>
      </w:pPr>
      <w:r>
        <w:t xml:space="preserve">1.1–1.2: до 09.11.2026 определить затруднения (например, действия с дробями в 6 классах) и согласовать способ помощи и признак освоения: верно решены не менее двух из трёх заданий сопоставимой работы.</w:t>
      </w:r>
    </w:p>
    <w:p>
      <w:pPr>
        <w:widowControl/>
        <w:numPr>
          <w:ilvl w:val="0"/>
          <w:numId w:val="1004"/>
        </w:numPr>
        <w:pStyle w:val="Compact"/>
      </w:pPr>
      <w:r>
        <w:t xml:space="preserve">2.1: график помощи — 09.11.2026; помощь — 10–20.11.2026.</w:t>
      </w:r>
    </w:p>
    <w:p>
      <w:pPr>
        <w:widowControl/>
        <w:numPr>
          <w:ilvl w:val="0"/>
          <w:numId w:val="1004"/>
        </w:numPr>
        <w:pStyle w:val="Compact"/>
      </w:pPr>
      <w:r>
        <w:t xml:space="preserve">2.2: сверка сопоставимых работ — 23.11.2026.</w:t>
      </w:r>
    </w:p>
    <w:p>
      <w:pPr>
        <w:widowControl/>
        <w:numPr>
          <w:ilvl w:val="0"/>
          <w:numId w:val="1004"/>
        </w:numPr>
        <w:pStyle w:val="Compact"/>
      </w:pPr>
      <w:r>
        <w:t xml:space="preserve">3.1: рассмотрение выполнения — 25.11.2026 на совещании при директоре; информация от всех исполнителей.</w:t>
      </w:r>
    </w:p>
    <w:p>
      <w:pPr>
        <w:pStyle w:val="FirstParagraph"/>
        <w:widowControl/>
      </w:pPr>
      <w:r>
        <w:t xml:space="preserve">Проверяется освоение умения по существующим работам, а не публикация графика. В приказе 03 те же даты и формулировки; свои значения подставьте и сверьте сами.</w:t>
      </w:r>
    </w:p>
    <w:bookmarkEnd w:id="27"/>
    <w:bookmarkStart w:id="28" w:name="типичные-ошибки"/>
    <w:p>
      <w:pPr>
        <w:pStyle w:val="Heading2"/>
        <w:widowControl/>
        <w:ind w:firstLine="0"/>
      </w:pPr>
      <w:r>
        <w:t xml:space="preserve">Типичные ошибки</w:t>
      </w:r>
    </w:p>
    <w:p>
      <w:pPr>
        <w:widowControl/>
        <w:numPr>
          <w:ilvl w:val="0"/>
          <w:numId w:val="1005"/>
        </w:numPr>
        <w:pStyle w:val="Compact"/>
      </w:pPr>
      <w:r>
        <w:t xml:space="preserve">Подписать приказ после заседания прошлой датой.</w:t>
      </w:r>
    </w:p>
    <w:p>
      <w:pPr>
        <w:widowControl/>
        <w:numPr>
          <w:ilvl w:val="0"/>
          <w:numId w:val="1005"/>
        </w:numPr>
        <w:pStyle w:val="Compact"/>
      </w:pPr>
      <w:r>
        <w:t xml:space="preserve">Записать выступления и голосование заранее.</w:t>
      </w:r>
    </w:p>
    <w:p>
      <w:pPr>
        <w:widowControl/>
        <w:numPr>
          <w:ilvl w:val="0"/>
          <w:numId w:val="1005"/>
        </w:numPr>
        <w:pStyle w:val="Compact"/>
      </w:pPr>
      <w:r>
        <w:t xml:space="preserve">Оставить в итоговом протоколе все примерные пункты.</w:t>
      </w:r>
    </w:p>
    <w:p>
      <w:pPr>
        <w:widowControl/>
        <w:numPr>
          <w:ilvl w:val="0"/>
          <w:numId w:val="1005"/>
        </w:numPr>
        <w:pStyle w:val="Compact"/>
      </w:pPr>
      <w:r>
        <w:t xml:space="preserve">Решение без срока, исполнителя, результата.</w:t>
      </w:r>
    </w:p>
    <w:p>
      <w:pPr>
        <w:widowControl/>
        <w:numPr>
          <w:ilvl w:val="0"/>
          <w:numId w:val="1005"/>
        </w:numPr>
        <w:pStyle w:val="Compact"/>
      </w:pPr>
      <w:r>
        <w:t xml:space="preserve">Расхождение сроков и исполнителей между документами.</w:t>
      </w:r>
    </w:p>
    <w:bookmarkEnd w:id="28"/>
    <w:bookmarkStart w:id="29" w:name="перед-подписанием"/>
    <w:p>
      <w:pPr>
        <w:pStyle w:val="Heading2"/>
        <w:widowControl/>
        <w:ind w:firstLine="0"/>
      </w:pPr>
      <w:r>
        <w:t xml:space="preserve">Перед подписанием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960"/>
        <w:gridCol w:w="3960"/>
      </w:tblGrid>
      <w:tr>
        <w:trPr>
          <w:tblHeader w:val="true"/>
          <w:cantSplit/>
          <w:tblHeader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Проверка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Да/Нет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Все поля заполнены, квадратных скобок нет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Даты и номера согласованы между документами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Решения приняты и совет правомочен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Сроки и исполнители совпадают в протоколе и приказе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Приложение с регистрацией реально есть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</w:pPr>
          </w:p>
        </w:tc>
      </w:tr>
    </w:tbl>
    <w:p>
      <w:pPr>
        <w:pStyle w:val="BodyText"/>
        <w:widowControl/>
      </w:pPr>
      <w:r>
        <w:t xml:space="preserve">Если в какой-либо строке «Нет», исправьте до подписания.</w:t>
      </w:r>
    </w:p>
    <w:bookmarkEnd w:id="29"/>
    <w:bookmarkStart w:id="30" w:name="оформление"/>
    <w:p>
      <w:pPr>
        <w:pStyle w:val="Heading2"/>
        <w:widowControl/>
        <w:ind w:firstLine="0"/>
      </w:pPr>
      <w:r>
        <w:t xml:space="preserve">Оформление</w:t>
      </w:r>
    </w:p>
    <w:p>
      <w:pPr>
        <w:pStyle w:val="FirstParagraph"/>
        <w:widowControl/>
      </w:pPr>
      <w:r>
        <w:t xml:space="preserve">Оформление сверьте с инструкцией по делопроизводству и утверждённым бланком школы. При подготовке использован ГОСТ Р 7.0.97-2025; требования конкретной школы нужно учесть при адаптации. Набор не заменяет локальные акты и юридическую проверку.</w:t>
      </w:r>
    </w:p>
    <w:bookmarkEnd w:id="30"/>
    <w:bookmarkEnd w:id="31"/>
    <w:sectPr>
      <w:headerReference w:type="default" r:id="rId9"/>
      <w:pgSz w:w="11906" w:h="16838"/>
      <w:pgMar w:left="1701" w:right="850" w:top="1134" w:bottom="1134" w:header="567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line="276" w:lineRule="auto" w:after="120"/>
      <w:ind w:firstLine="0"/>
    </w:pPr>
    <w:rPr>
      <w:rFonts w:ascii="Times New Roman" w:hAnsi="Times New Roman"/>
      <w:sz w:val="24"/>
    </w:rPr>
  </w:style>
  <w:style w:styleId="BodyText" w:type="paragraph">
    <w:name w:val="Body Text"/>
    <w:basedOn w:val="Normal"/>
    <w:link w:val="BodyTextChar"/>
    <w:pPr>
      <w:widowControl/>
      <w:spacing w:after="120" w:before="180" w:line="276" w:lineRule="auto"/>
      <w:ind w:firstLine="0"/>
    </w:pPr>
    <w:qFormat/>
    <w:rPr>
      <w:rFonts w:ascii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widowControl/>
      <w:spacing w:line="276" w:lineRule="auto" w:after="120"/>
      <w:ind w:firstLine="0"/>
    </w:pPr>
    <w:rPr>
      <w:rFonts w:ascii="Times New Roman" w:hAnsi="Times New Roman"/>
      <w:sz w:val="24"/>
    </w:rPr>
  </w:style>
  <w:style w:customStyle="1" w:styleId="Compact" w:type="paragraph">
    <w:name w:val="Compact"/>
    <w:basedOn w:val="BodyText"/>
    <w:qFormat/>
    <w:pPr>
      <w:widowControl/>
      <w:spacing w:after="120" w:before="36" w:line="276" w:lineRule="auto"/>
      <w:ind w:firstLine="0"/>
    </w:pPr>
    <w:rPr>
      <w:rFonts w:ascii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200"/>
      <w:jc w:val="center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00"/>
      <w:outlineLvl w:val="0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https://www.consultant.ru/document/cons_doc_LAW_140174/85124c9196d691bcb8ae879146b0a2b60abef3f9/" TargetMode="External"/><Relationship Id="rId21" Type="http://schemas.openxmlformats.org/officeDocument/2006/relationships/hyperlink" Target="https://www.consultant.ru/document/cons_doc_LAW_140174/e20e07c635fef774b363dcf3da4bc91d29368299/" TargetMode="External"/><Relationship Id="rId9" Type="http://schemas.openxmlformats.org/officeDocument/2006/relationships/header" Target="head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https://www.consultant.ru/document/cons_doc_LAW_140174/85124c9196d691bcb8ae879146b0a2b60abef3f9/" TargetMode="External"/><Relationship Id="rId21" Type="http://schemas.openxmlformats.org/officeDocument/2006/relationships/hyperlink" Target="https://www.consultant.ru/document/cons_doc_LAW_140174/e20e07c635fef774b363dcf3da4bc91d2936829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подготовить документы педсовета</dc:title>
  <dc:creator>Документы директора</dc:creator>
  <cp:keywords/>
  <dcterms:created xsi:type="dcterms:W3CDTF">2026-10-18T03:57:19Z</dcterms:created>
  <dcterms:modified xsi:type="dcterms:W3CDTF">2026-10-18T03:57:19Z</dcterms:modified>
  <cp:lastModifiedBy>Документы директора</cp:lastModifiedBy>
  <dc:description/>
  <dc:subject>Инструкция по заполнению шаблонов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