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215b042c37ca4c7a2ae78fc1f59c06dad65ca73"/>
    <w:p>
      <w:pPr>
        <w:pBdr>
          <w:bottom w:val="single" w:sz="12" w:space="6" w:color="8B1E2D"/>
        </w:pBdr>
        <w:pStyle w:val="Heading1"/>
      </w:pPr>
      <w:r>
        <w:t xml:space="preserve">ПОРЯДОК ВЫСТАВЛЕНИЯ ОЦЕНОК ПОВЕДЕНИЯ ОБУЧАЮЩИХСЯ</w:t>
      </w:r>
    </w:p>
    <w:p>
      <w:pPr>
        <w:pStyle w:val="FirstParagraph"/>
        <w:jc w:val="left"/>
      </w:pPr>
      <w:r>
        <w:rPr>
          <w:bCs/>
          <w:b/>
        </w:rPr>
        <w:t xml:space="preserve">УТВЕРЖДЕН</w:t>
      </w:r>
      <w:r>
        <w:br/>
      </w:r>
      <w:r>
        <w:t xml:space="preserve">приказом [полное наименование образовательной организации]</w:t>
      </w:r>
      <w:r>
        <w:br/>
      </w:r>
      <w:r>
        <w:t xml:space="preserve">от [дата] № [номер]</w:t>
      </w:r>
    </w:p>
    <w:bookmarkStart w:id="20" w:name="общие-положения"/>
    <w:p>
      <w:pPr>
        <w:pStyle w:val="Heading2"/>
      </w:pPr>
      <w:r>
        <w:t xml:space="preserve">1. Общие положения</w:t>
      </w:r>
    </w:p>
    <w:p>
      <w:pPr>
        <w:pStyle w:val="FirstParagraph"/>
      </w:pPr>
      <w:r>
        <w:t xml:space="preserve">1.1. Настоящий Порядок устанавливает правила выставления оценок поведения обучающихся в [полное наименование образовательной организации] (далее — Организация).</w:t>
      </w:r>
    </w:p>
    <w:p>
      <w:pPr>
        <w:pStyle w:val="BodyText"/>
      </w:pPr>
      <w:r>
        <w:t xml:space="preserve">1.2. Порядок разработан в соответствии с частью 3.1 статьи 43 Федерального закона от 29.12.2012 № 273-ФЗ «Об образовании в Российской Федерации» и пунктом 25 Порядка организации и осуществления образовательной деятельности, утверждённого приказом Минпросвещения России от 22.03.2021 № 115, в редакции приказа Минпросвещения России от 08.05.2026 № 316.</w:t>
      </w:r>
    </w:p>
    <w:p>
      <w:pPr>
        <w:pStyle w:val="BodyText"/>
      </w:pPr>
      <w:r>
        <w:t xml:space="preserve">1.3. Выставление оценок поведения применяется с [дата] по решению Организации. Оценка поведения не является отметкой за освоение образовательной программы и не включается в результаты промежуточной аттестации.</w:t>
      </w:r>
    </w:p>
    <w:p>
      <w:pPr>
        <w:pStyle w:val="BodyText"/>
      </w:pPr>
      <w:r>
        <w:t xml:space="preserve">1.4. Порядок не распространяется на обучающихся первых классов.</w:t>
      </w:r>
    </w:p>
    <w:p>
      <w:pPr>
        <w:pStyle w:val="BodyText"/>
      </w:pPr>
      <w:r>
        <w:t xml:space="preserve">1.5. Поведение обучающихся с ограниченными возможностями здоровья с задержкой психического развития или нарушением интеллекта оценивается с учётом особенностей их психофизического развития и состояния здоровья.</w:t>
      </w:r>
    </w:p>
    <w:bookmarkEnd w:id="20"/>
    <w:bookmarkStart w:id="21" w:name="шкала-и-предмет-оценивания"/>
    <w:p>
      <w:pPr>
        <w:pStyle w:val="Heading2"/>
      </w:pPr>
      <w:r>
        <w:t xml:space="preserve">2. Шкала и предмет оценивания</w:t>
      </w:r>
    </w:p>
    <w:p>
      <w:pPr>
        <w:pStyle w:val="FirstParagraph"/>
      </w:pPr>
      <w:r>
        <w:t xml:space="preserve">2.1. Для оценки поведения применяется шкала:</w:t>
      </w:r>
    </w:p>
    <w:p>
      <w:pPr>
        <w:numPr>
          <w:ilvl w:val="0"/>
          <w:numId w:val="1001"/>
        </w:numPr>
      </w:pPr>
      <w:r>
        <w:t xml:space="preserve">«образцовое»;</w:t>
      </w:r>
    </w:p>
    <w:p>
      <w:pPr>
        <w:numPr>
          <w:ilvl w:val="0"/>
          <w:numId w:val="1001"/>
        </w:numPr>
      </w:pPr>
      <w:r>
        <w:t xml:space="preserve">«допустимое»;</w:t>
      </w:r>
    </w:p>
    <w:p>
      <w:pPr>
        <w:numPr>
          <w:ilvl w:val="0"/>
          <w:numId w:val="1001"/>
        </w:numPr>
      </w:pPr>
      <w:r>
        <w:t xml:space="preserve">«недопустимое».</w:t>
      </w:r>
    </w:p>
    <w:p>
      <w:pPr>
        <w:pStyle w:val="FirstParagraph"/>
      </w:pPr>
      <w:r>
        <w:t xml:space="preserve">2.2. При выставлении оценки учитывается соблюдение обучающимся правил внутреннего распорядка, дисциплины на учебных занятиях и правил поведения в Организации за установленный период.</w:t>
      </w:r>
    </w:p>
    <w:p>
      <w:pPr>
        <w:pStyle w:val="BodyText"/>
      </w:pPr>
      <w:r>
        <w:t xml:space="preserve">2.3. Оценка не может основываться на успеваемости, социальном положении семьи, состоянии здоровья, принадлежности к общественному объединению либо на обстоятельствах, не связанных с поведением обучающегося.</w:t>
      </w:r>
    </w:p>
    <w:bookmarkEnd w:id="21"/>
    <w:bookmarkStart w:id="22" w:name="критерии"/>
    <w:p>
      <w:pPr>
        <w:pStyle w:val="Heading2"/>
      </w:pPr>
      <w:r>
        <w:t xml:space="preserve">3. Критерии</w:t>
      </w:r>
    </w:p>
    <w:p>
      <w:pPr>
        <w:pStyle w:val="FirstParagraph"/>
      </w:pPr>
      <w:r>
        <w:t xml:space="preserve">3.1. Оценка «образцовое» выставляется, если обучающийся в течение периода соблюдал правила внутреннего распорядка и не имел подтверждённых нарушений дисциплины.</w:t>
      </w:r>
    </w:p>
    <w:p>
      <w:pPr>
        <w:pStyle w:val="BodyText"/>
      </w:pPr>
      <w:r>
        <w:t xml:space="preserve">3.2. Оценка «допустимое» выставляется при единичном подтверждённом нарушении, после которого обучающийся выполнил законное требование работника Организации и нарушение не повторялось в оцениваемом периоде.</w:t>
      </w:r>
    </w:p>
    <w:p>
      <w:pPr>
        <w:pStyle w:val="BodyText"/>
      </w:pPr>
      <w:r>
        <w:t xml:space="preserve">3.3. Оценка «недопустимое» выставляется при повторных подтверждённых нарушениях либо при нарушении, которое существенно препятствовало проведению занятия, создало угрозу безопасности или нарушило права других участников образовательных отношений.</w:t>
      </w:r>
    </w:p>
    <w:p>
      <w:pPr>
        <w:pStyle w:val="BodyText"/>
      </w:pPr>
      <w:r>
        <w:t xml:space="preserve">3.4. При оценивании учитываются обстоятельства события, возраст обучающегося, его объяснение и имеющиеся документы. Само по себе обращение родителя, сообщение в чате или неподтверждённое мнение работника основанием для оценки не является.</w:t>
      </w:r>
    </w:p>
    <w:bookmarkEnd w:id="22"/>
    <w:bookmarkStart w:id="23" w:name="порядок-выставления"/>
    <w:p>
      <w:pPr>
        <w:pStyle w:val="Heading2"/>
      </w:pPr>
      <w:r>
        <w:t xml:space="preserve">4. Порядок выставления</w:t>
      </w:r>
    </w:p>
    <w:p>
      <w:pPr>
        <w:pStyle w:val="FirstParagraph"/>
      </w:pPr>
      <w:r>
        <w:t xml:space="preserve">4.1. Оценка поведения выставляется [классным руководителем / комиссией] по итогам [учебной четверти / триместра / полугодия].</w:t>
      </w:r>
    </w:p>
    <w:p>
      <w:pPr>
        <w:pStyle w:val="BodyText"/>
      </w:pPr>
      <w:r>
        <w:t xml:space="preserve">4.2. Сведения для оценки представляют педагогические и руководящие работники, а также иные лица, на которых возложен контроль за соблюдением правил внутреннего распорядка.</w:t>
      </w:r>
    </w:p>
    <w:p>
      <w:pPr>
        <w:pStyle w:val="BodyText"/>
      </w:pPr>
      <w:r>
        <w:t xml:space="preserve">4.3. При предполагаемой оценке «недопустимое» обучающемуся и его родителям (законным представителям) сообщаются установленные факты. Обучающемуся предоставляется возможность дать объяснение до принятия решения.</w:t>
      </w:r>
    </w:p>
    <w:p>
      <w:pPr>
        <w:pStyle w:val="BodyText"/>
      </w:pPr>
      <w:r>
        <w:t xml:space="preserve">4.4. Решение фиксируется в [наименование информационной системы / ведомости]. В записи указываются период, оценка и лицо, принявшее решение. Сведения о конкретных событиях хранятся в документах, которыми эти события оформлены.</w:t>
      </w:r>
    </w:p>
    <w:p>
      <w:pPr>
        <w:pStyle w:val="BodyText"/>
      </w:pPr>
      <w:r>
        <w:t xml:space="preserve">4.5. Классный руководитель доводит оценку до обучающегося и его родителей (законных представителей) не позднее [срок] после её выставления.</w:t>
      </w:r>
    </w:p>
    <w:bookmarkEnd w:id="23"/>
    <w:bookmarkStart w:id="24" w:name="пересмотр-оценки"/>
    <w:p>
      <w:pPr>
        <w:pStyle w:val="Heading2"/>
      </w:pPr>
      <w:r>
        <w:t xml:space="preserve">5. Пересмотр оценки</w:t>
      </w:r>
    </w:p>
    <w:p>
      <w:pPr>
        <w:pStyle w:val="FirstParagraph"/>
      </w:pPr>
      <w:r>
        <w:t xml:space="preserve">5.1. Обучающийся или его родители (законные представители) вправе обратиться к директору с заявлением о пересмотре оценки в течение [количество] рабочих дней со дня ознакомления.</w:t>
      </w:r>
    </w:p>
    <w:p>
      <w:pPr>
        <w:pStyle w:val="BodyText"/>
      </w:pPr>
      <w:r>
        <w:t xml:space="preserve">5.2. Директор рассматривает заявление либо передаёт его комиссии в составе не менее трёх работников, которые не принимали первоначальное решение.</w:t>
      </w:r>
    </w:p>
    <w:p>
      <w:pPr>
        <w:pStyle w:val="BodyText"/>
      </w:pPr>
      <w:r>
        <w:t xml:space="preserve">5.3. По результатам рассмотрения оценка сохраняется или изменяется. Решение с указанием установленных фактов доводится до заявителя в срок, установленный локальным порядком рассмотрения обращений.</w:t>
      </w:r>
    </w:p>
    <w:bookmarkEnd w:id="24"/>
    <w:bookmarkStart w:id="25" w:name="заключительные-положения"/>
    <w:p>
      <w:pPr>
        <w:pStyle w:val="Heading2"/>
      </w:pPr>
      <w:r>
        <w:t xml:space="preserve">6. Заключительные положения</w:t>
      </w:r>
    </w:p>
    <w:p>
      <w:pPr>
        <w:pStyle w:val="FirstParagraph"/>
      </w:pPr>
      <w:r>
        <w:t xml:space="preserve">6.1. Настоящий Порядок вступает в силу с [дата], но не ранее 1 сентября 2026 года.</w:t>
      </w:r>
    </w:p>
    <w:p>
      <w:pPr>
        <w:pStyle w:val="BodyText"/>
      </w:pPr>
      <w:r>
        <w:t xml:space="preserve">6.2. Порядок применяется в пределах срока действия приказа Минпросвещения России от 08.05.2026 № 316. Ответственный работник проверяет актуальность правового основания не позднее 15 мая 2027 года.</w:t>
      </w:r>
    </w:p>
    <w:p>
      <w:pPr>
        <w:pStyle w:val="BodyText"/>
      </w:pPr>
      <w:r>
        <w:t xml:space="preserve">6.3. Изменения в Порядок принимаются с соблюдением части 3 статьи 30 Федерального закона № 273-ФЗ и утверждаются приказом Организации.</w:t>
      </w:r>
    </w:p>
    <w:bookmarkEnd w:id="25"/>
    <w:bookmarkEnd w:id="26"/>
    <w:sectPr>
      <w:headerReference r:id="rId9" w:type="default"/>
      <w:headerReference r:id="rId10" w:type="first"/>
      <w:pgSz w:h="16838" w:w="11906"/>
      <w:pgMar w:bottom="1134" w:footer="567" w:gutter="0" w:header="567" w:left="1701" w:right="567" w:top="1134"/>
      <w:titlePg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/>
</w:hdr>
</file>

<file path=word/header2.xml><?xml version="1.0" encoding="utf-8"?>
<w:hdr xmlns:w="http://schemas.openxmlformats.org/wordprocessingml/2006/main">
  <w:p>
    <w:pPr>
      <w:jc w:val="center"/>
    </w:pPr>
    <w:r>
      <w:fldChar w:fldCharType="begin"/>
    </w:r>
    <w:r>
      <w:instrText xml:space="preserve"> PAGE </w:instrText>
    </w:r>
    <w:r>
      <w:fldChar w:fldCharType="end"/>
    </w:r>
  </w:p>
</w:hdr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21">
    <w:nsid w:val="A99421"/>
    <w:multiLevelType w:val="multilevel"/>
    <w:lvl w:ilvl="0">
      <w:start w:val="1"/>
      <w:numFmt w:val="decimal"/>
      <w:lvlText w:val="%1)"/>
      <w:lvlJc w:val="left"/>
      <w:pPr>
        <w:ind w:left="720" w:hanging="480"/>
      </w:pPr>
    </w:lvl>
    <w:lvl w:ilvl="1">
      <w:start w:val="1"/>
      <w:numFmt w:val="decimal"/>
      <w:lvlText w:val="%2)"/>
      <w:lvlJc w:val="left"/>
      <w:pPr>
        <w:ind w:left="1440" w:hanging="480"/>
      </w:pPr>
    </w:lvl>
    <w:lvl w:ilvl="2">
      <w:start w:val="1"/>
      <w:numFmt w:val="decimal"/>
      <w:lvlText w:val="%3)"/>
      <w:lvlJc w:val="left"/>
      <w:pPr>
        <w:ind w:left="2160" w:hanging="480"/>
      </w:pPr>
    </w:lvl>
    <w:lvl w:ilvl="3">
      <w:start w:val="1"/>
      <w:numFmt w:val="decimal"/>
      <w:lvlText w:val="%4)"/>
      <w:lvlJc w:val="left"/>
      <w:pPr>
        <w:ind w:left="2880" w:hanging="480"/>
      </w:pPr>
    </w:lvl>
    <w:lvl w:ilvl="4">
      <w:start w:val="1"/>
      <w:numFmt w:val="decimal"/>
      <w:lvlText w:val="%5)"/>
      <w:lvlJc w:val="left"/>
      <w:pPr>
        <w:ind w:left="3600" w:hanging="480"/>
      </w:pPr>
    </w:lvl>
    <w:lvl w:ilvl="5">
      <w:start w:val="1"/>
      <w:numFmt w:val="decimal"/>
      <w:lvlText w:val="%6)"/>
      <w:lvlJc w:val="left"/>
      <w:pPr>
        <w:ind w:left="4320" w:hanging="480"/>
      </w:pPr>
    </w:lvl>
    <w:lvl w:ilvl="6">
      <w:start w:val="1"/>
      <w:numFmt w:val="decimal"/>
      <w:lvlText w:val="%7)"/>
      <w:lvlJc w:val="left"/>
      <w:pPr>
        <w:ind w:left="5040" w:hanging="480"/>
      </w:pPr>
    </w:lvl>
    <w:lvl w:ilvl="7">
      <w:start w:val="1"/>
      <w:numFmt w:val="decimal"/>
      <w:lvlText w:val="%8)"/>
      <w:lvlJc w:val="left"/>
      <w:pPr>
        <w:ind w:left="5760" w:hanging="480"/>
      </w:pPr>
    </w:lvl>
    <w:lvl w:ilvl="8">
      <w:start w:val="1"/>
      <w:numFmt w:val="decimal"/>
      <w:lvlText w:val="%9)"/>
      <w:lvlJc w:val="left"/>
      <w:pPr>
        <w:ind w:left="6480" w:hanging="480"/>
      </w:pPr>
    </w:lvl>
  </w:abstractNum>
  <w:num w:numId="1000">
    <w:abstractNumId w:val="990"/>
  </w:num>
  <w:num w:numId="1001">
    <w:abstractNumId w:val="994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cs="Times New Roman" w:eastAsia="Times New Roman" w:hAnsi="Times New Roman"/>
        <w:sz w:val="28"/>
        <w:szCs w:val="28"/>
        <w:lang w:bidi="ru-RU" w:eastAsia="ru-RU" w:val="ru-RU"/>
      </w:rPr>
    </w:rPrDefault>
    <w:pPrDefault>
      <w:pPr>
        <w:spacing w:after="120" w:line="276" w:lineRule="auto"/>
        <w:jc w:val="both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0" w:line="276" w:lineRule="auto"/>
      <w:ind w:firstLine="709"/>
      <w:jc w:val="both"/>
    </w:pPr>
    <w:rPr>
      <w:rFonts w:ascii="Times New Roman" w:cs="Times New Roman" w:eastAsia="Times New Roman" w:hAnsi="Times New Roman"/>
      <w:b w:val="0"/>
      <w:color w:val="000000"/>
      <w:sz w:val="28"/>
      <w:lang w:bidi="ru-RU" w:eastAsia="ru-RU" w:val="ru-RU"/>
    </w:rPr>
  </w:style>
  <w:style w:styleId="BodyText" w:type="paragraph">
    <w:name w:val="Body Text"/>
    <w:basedOn w:val="Normal"/>
    <w:link w:val="BodyTextChar"/>
    <w:pPr>
      <w:spacing w:after="180" w:before="180"/>
    </w:pPr>
    <w:qFormat/>
    <w:rPr>
      <w:rFonts w:ascii="Times New Roman" w:cs="Times New Roman" w:eastAsia="Times New Roman" w:hAnsi="Times New Roman"/>
      <w:color w:val="000000"/>
      <w:lang w:bidi="ru-RU" w:eastAsia="ru-RU" w:val="ru-RU"/>
    </w:rPr>
  </w:style>
  <w:style w:customStyle="1" w:styleId="FirstParagraph" w:type="paragraph">
    <w:name w:val="First Paragraph"/>
    <w:basedOn w:val="BodyText"/>
    <w:next w:val="BodyText"/>
    <w:qFormat/>
    <w:rPr>
      <w:rFonts w:ascii="Times New Roman" w:cs="Times New Roman" w:eastAsia="Times New Roman" w:hAnsi="Times New Roman"/>
      <w:color w:val="000000"/>
      <w:lang w:bidi="ru-RU" w:eastAsia="ru-RU" w:val="ru-RU"/>
    </w:rPr>
  </w:style>
  <w:style w:customStyle="1" w:styleId="Compact" w:type="paragraph">
    <w:name w:val="Compact"/>
    <w:basedOn w:val="BodyText"/>
    <w:qFormat/>
    <w:pPr>
      <w:spacing w:after="0" w:before="36"/>
      <w:ind w:firstLine="0"/>
    </w:pPr>
    <w:rPr>
      <w:rFonts w:ascii="Times New Roman" w:cs="Times New Roman" w:eastAsia="Times New Roman" w:hAnsi="Times New Roman"/>
      <w:b w:val="0"/>
      <w:color w:val="000000"/>
      <w:sz w:val="22"/>
      <w:lang w:bidi="ru-RU" w:eastAsia="ru-RU" w:val="ru-RU"/>
    </w:rPr>
  </w:style>
  <w:style w:styleId="Title" w:type="paragraph">
    <w:name w:val="Title"/>
    <w:basedOn w:val="Normal"/>
    <w:next w:val="BodyText"/>
    <w:qFormat/>
    <w:pPr>
      <w:keepNext/>
      <w:keepLines/>
      <w:spacing w:after="120" w:before="0"/>
      <w:ind w:firstLine="0"/>
      <w:jc w:val="center"/>
    </w:pPr>
    <w:rPr>
      <w:rFonts w:ascii="Georgia" w:hAnsi="Georgia"/>
      <w:b/>
      <w:color w:val="8B1E2D"/>
      <w:sz w:val="40"/>
      <w:szCs w:val="40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rFonts w:ascii="Times New Roman" w:cs="Times New Roman" w:eastAsia="Times New Roman" w:hAnsi="Times New Roman"/>
      <w:color w:val="000000"/>
      <w:sz w:val="30"/>
      <w:szCs w:val="30"/>
      <w:lang w:bidi="ru-RU" w:eastAsia="ru-RU" w:val="ru-RU"/>
    </w:rPr>
  </w:style>
  <w:style w:customStyle="1" w:styleId="Author" w:type="paragraph">
    <w:name w:val="Author"/>
    <w:next w:val="BodyText"/>
    <w:qFormat/>
    <w:pPr>
      <w:keepNext/>
      <w:keepLines/>
      <w:jc w:val="center"/>
    </w:pPr>
    <w:rPr>
      <w:rFonts w:ascii="Times New Roman" w:cs="Times New Roman" w:eastAsia="Times New Roman" w:hAnsi="Times New Roman"/>
      <w:color w:val="000000"/>
      <w:lang w:bidi="ru-RU" w:eastAsia="ru-RU" w:val="ru-RU"/>
    </w:rPr>
  </w:style>
  <w:style w:styleId="Date" w:type="paragraph">
    <w:name w:val="Date"/>
    <w:next w:val="BodyText"/>
    <w:qFormat/>
    <w:pPr>
      <w:keepNext/>
      <w:keepLines/>
      <w:jc w:val="center"/>
    </w:pPr>
    <w:rPr>
      <w:rFonts w:ascii="Times New Roman" w:cs="Times New Roman" w:eastAsia="Times New Roman" w:hAnsi="Times New Roman"/>
      <w:color w:val="000000"/>
      <w:lang w:bidi="ru-RU" w:eastAsia="ru-RU" w:val="ru-RU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color w:val="000000"/>
      <w:sz w:val="20"/>
      <w:szCs w:val="20"/>
      <w:rFonts w:ascii="Times New Roman" w:cs="Times New Roman" w:eastAsia="Times New Roman" w:hAnsi="Times New Roman"/>
      <w:b/>
      <w:lang w:bidi="ru-RU" w:eastAsia="ru-RU" w:val="ru-RU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rFonts w:ascii="Times New Roman" w:cs="Times New Roman" w:eastAsia="Times New Roman" w:hAnsi="Times New Roman"/>
      <w:color w:val="000000"/>
      <w:sz w:val="20"/>
      <w:szCs w:val="20"/>
      <w:lang w:bidi="ru-RU" w:eastAsia="ru-RU" w:val="ru-RU"/>
    </w:rPr>
  </w:style>
  <w:style w:styleId="Bibliography" w:type="paragraph">
    <w:name w:val="Bibliography"/>
    <w:basedOn w:val="Normal"/>
    <w:next w:val="Bibliography"/>
    <w:qFormat/>
    <w:pPr/>
    <w:rPr>
      <w:rFonts w:ascii="Times New Roman" w:cs="Times New Roman" w:eastAsia="Times New Roman" w:hAnsi="Times New Roman"/>
      <w:color w:val="000000"/>
      <w:lang w:bidi="ru-RU" w:eastAsia="ru-RU" w:val="ru-RU"/>
    </w:rPr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120" w:before="240"/>
      <w:ind w:firstLine="0"/>
      <w:jc w:val="center"/>
      <w:outlineLvl w:val="0"/>
    </w:pPr>
    <w:rPr>
      <w:rFonts w:ascii="Georgia" w:hAnsi="Georgia"/>
      <w:b/>
      <w:color w:val="8B1E2D"/>
      <w:sz w:val="34"/>
      <w:szCs w:val="34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80" w:before="200"/>
      <w:ind w:firstLine="0"/>
      <w:jc w:val="left"/>
      <w:outlineLvl w:val="1"/>
    </w:pPr>
    <w:rPr>
      <w:rFonts w:ascii="Georgia" w:hAnsi="Georgia"/>
      <w:b/>
      <w:color w:val="8B1E2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ind w:firstLine="0"/>
      <w:jc w:val="left"/>
      <w:outlineLvl w:val="2"/>
    </w:pPr>
    <w:rPr>
      <w:rFonts w:ascii="Georgia" w:hAnsi="Georgia"/>
      <w:b/>
      <w:color w:val="5A121E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="Times New Roman" w:asciiTheme="majorHAnsi" w:cs="Times New Roman" w:cstheme="majorBidi" w:eastAsia="Times New Roman" w:eastAsiaTheme="majorEastAsia" w:hAnsi="Times New Roman" w:hAnsiTheme="majorHAnsi"/>
      <w:i/>
      <w:bCs/>
      <w:color w:val="000000"/>
      <w:sz w:val="24"/>
      <w:szCs w:val="24"/>
      <w:lang w:bidi="ru-RU" w:eastAsia="ru-RU" w:val="ru-RU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="Times New Roman" w:asciiTheme="majorHAnsi" w:cs="Times New Roman" w:cstheme="majorBidi" w:eastAsia="Times New Roman" w:eastAsiaTheme="majorEastAsia" w:hAnsi="Times New Roman" w:hAnsiTheme="majorHAnsi"/>
      <w:iCs/>
      <w:color w:val="000000"/>
      <w:sz w:val="24"/>
      <w:szCs w:val="24"/>
      <w:lang w:bidi="ru-RU" w:eastAsia="ru-RU" w:val="ru-RU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="Times New Roman" w:asciiTheme="majorHAnsi" w:cs="Times New Roman" w:cstheme="majorBidi" w:eastAsia="Times New Roman" w:eastAsiaTheme="majorEastAsia" w:hAnsi="Times New Roman" w:hAnsiTheme="majorHAnsi"/>
      <w:color w:val="000000"/>
      <w:sz w:val="24"/>
      <w:szCs w:val="24"/>
      <w:lang w:bidi="ru-RU" w:eastAsia="ru-RU" w:val="ru-RU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="Times New Roman" w:asciiTheme="majorHAnsi" w:cs="Times New Roman" w:cstheme="majorBidi" w:eastAsia="Times New Roman" w:eastAsiaTheme="majorEastAsia" w:hAnsi="Times New Roman" w:hAnsiTheme="majorHAnsi"/>
      <w:color w:val="000000"/>
      <w:sz w:val="24"/>
      <w:szCs w:val="24"/>
      <w:lang w:bidi="ru-RU" w:eastAsia="ru-RU" w:val="ru-RU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="Times New Roman" w:asciiTheme="majorHAnsi" w:cs="Times New Roman" w:cstheme="majorBidi" w:eastAsia="Times New Roman" w:eastAsiaTheme="majorEastAsia" w:hAnsi="Times New Roman" w:hAnsiTheme="majorHAnsi"/>
      <w:color w:val="000000"/>
      <w:sz w:val="24"/>
      <w:szCs w:val="24"/>
      <w:lang w:bidi="ru-RU" w:eastAsia="ru-RU" w:val="ru-RU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="Times New Roman" w:asciiTheme="majorHAnsi" w:cs="Times New Roman" w:cstheme="majorBidi" w:eastAsia="Times New Roman" w:eastAsiaTheme="majorEastAsia" w:hAnsi="Times New Roman" w:hAnsiTheme="majorHAnsi"/>
      <w:color w:val="000000"/>
      <w:sz w:val="24"/>
      <w:szCs w:val="24"/>
      <w:lang w:bidi="ru-RU" w:eastAsia="ru-RU" w:val="ru-RU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  <w:rPr>
      <w:rFonts w:ascii="Times New Roman" w:cs="Times New Roman" w:eastAsia="Times New Roman" w:hAnsi="Times New Roman"/>
      <w:color w:val="000000"/>
      <w:lang w:bidi="ru-RU" w:eastAsia="ru-RU" w:val="ru-RU"/>
    </w:rPr>
  </w:style>
  <w:style w:styleId="FootnoteText" w:type="paragraph">
    <w:name w:val="Footnote Text"/>
    <w:basedOn w:val="Normal"/>
    <w:next w:val="FootnoteText"/>
    <w:uiPriority w:val="9"/>
    <w:unhideWhenUsed/>
    <w:qFormat/>
    <w:rPr>
      <w:rFonts w:ascii="Times New Roman" w:cs="Times New Roman" w:eastAsia="Times New Roman" w:hAnsi="Times New Roman"/>
      <w:color w:val="000000"/>
      <w:lang w:bidi="ru-RU" w:eastAsia="ru-RU" w:val="ru-RU"/>
    </w:r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rFonts w:ascii="Times New Roman" w:cs="Times New Roman" w:eastAsia="Times New Roman" w:hAnsi="Times New Roman"/>
      <w:b/>
      <w:color w:val="000000"/>
      <w:lang w:bidi="ru-RU" w:eastAsia="ru-RU" w:val="ru-RU"/>
    </w:rPr>
  </w:style>
  <w:style w:customStyle="1" w:styleId="Definition" w:type="paragraph">
    <w:name w:val="Definition"/>
    <w:basedOn w:val="Normal"/>
    <w:rPr>
      <w:rFonts w:ascii="Times New Roman" w:cs="Times New Roman" w:eastAsia="Times New Roman" w:hAnsi="Times New Roman"/>
      <w:color w:val="000000"/>
      <w:lang w:bidi="ru-RU" w:eastAsia="ru-RU" w:val="ru-RU"/>
    </w:rPr>
  </w:style>
  <w:style w:styleId="Caption" w:type="paragraph">
    <w:name w:val="Caption"/>
    <w:basedOn w:val="Normal"/>
    <w:link w:val="BodyTextChar"/>
    <w:pPr>
      <w:spacing w:after="120" w:before="0"/>
    </w:pPr>
    <w:rPr>
      <w:rFonts w:ascii="Times New Roman" w:cs="Times New Roman" w:eastAsia="Times New Roman" w:hAnsi="Times New Roman"/>
      <w:i/>
      <w:color w:val="000000"/>
      <w:lang w:bidi="ru-RU" w:eastAsia="ru-RU" w:val="ru-RU"/>
    </w:rPr>
  </w:style>
  <w:style w:customStyle="1" w:styleId="TableCaption" w:type="paragraph">
    <w:name w:val="Table Caption"/>
    <w:basedOn w:val="Caption"/>
    <w:pPr>
      <w:keepNext/>
      <w:spacing w:after="0"/>
      <w:ind w:firstLine="0"/>
    </w:pPr>
    <w:rPr>
      <w:rFonts w:ascii="Times New Roman" w:cs="Times New Roman" w:eastAsia="Times New Roman" w:hAnsi="Times New Roman"/>
      <w:b w:val="0"/>
      <w:color w:val="000000"/>
      <w:sz w:val="22"/>
      <w:lang w:bidi="ru-RU" w:eastAsia="ru-RU" w:val="ru-RU"/>
    </w:rPr>
  </w:style>
  <w:style w:customStyle="1" w:styleId="ImageCaption" w:type="paragraph">
    <w:name w:val="Image Caption"/>
    <w:basedOn w:val="Caption"/>
    <w:rPr>
      <w:rFonts w:ascii="Times New Roman" w:cs="Times New Roman" w:eastAsia="Times New Roman" w:hAnsi="Times New Roman"/>
      <w:color w:val="000000"/>
      <w:lang w:bidi="ru-RU" w:eastAsia="ru-RU" w:val="ru-RU"/>
    </w:rPr>
  </w:style>
  <w:style w:customStyle="1" w:styleId="Figure" w:type="paragraph">
    <w:name w:val="Figure"/>
    <w:basedOn w:val="Normal"/>
    <w:rPr>
      <w:rFonts w:ascii="Times New Roman" w:cs="Times New Roman" w:eastAsia="Times New Roman" w:hAnsi="Times New Roman"/>
      <w:color w:val="000000"/>
      <w:lang w:bidi="ru-RU" w:eastAsia="ru-RU" w:val="ru-RU"/>
    </w:rPr>
  </w:style>
  <w:style w:customStyle="1" w:styleId="CaptionedFigure" w:type="paragraph">
    <w:name w:val="Captioned Figure"/>
    <w:basedOn w:val="Figure"/>
    <w:pPr>
      <w:keepNext/>
    </w:pPr>
    <w:rPr>
      <w:rFonts w:ascii="Times New Roman" w:cs="Times New Roman" w:eastAsia="Times New Roman" w:hAnsi="Times New Roman"/>
      <w:color w:val="000000"/>
      <w:lang w:bidi="ru-RU" w:eastAsia="ru-RU" w:val="ru-RU"/>
    </w:r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="Times New Roman" w:asciiTheme="majorHAnsi" w:cs="Times New Roman" w:cstheme="majorBidi" w:eastAsia="Times New Roman" w:eastAsiaTheme="majorEastAsia" w:hAnsi="Times New Roman" w:hAnsiTheme="majorHAnsi"/>
      <w:b w:val="0"/>
      <w:bCs w:val="0"/>
      <w:color w:val="000000"/>
      <w:lang w:bidi="ru-RU" w:eastAsia="ru-RU" w:val="ru-RU"/>
    </w:rPr>
  </w:style>
  <w:style w:customStyle="1" w:styleId="NazvanieDokumenta" w:type="paragraph">
    <w:name w:val="НазваниеДокумента"/>
    <w:basedOn w:val="BodyText"/>
    <w:qFormat/>
    <w:pPr>
      <w:keepNext/>
      <w:keepLines/>
      <w:spacing w:after="240" w:before="240" w:line="276" w:lineRule="auto"/>
      <w:ind w:firstLine="0" w:left="0" w:right="0"/>
      <w:jc w:val="center"/>
    </w:pPr>
    <w:rPr>
      <w:rFonts w:ascii="Times New Roman" w:cs="Times New Roman" w:eastAsia="Times New Roman" w:hAnsi="Times New Roman"/>
      <w:b/>
      <w:color w:val="000000"/>
      <w:sz w:val="32"/>
      <w:szCs w:val="28"/>
      <w:lang w:bidi="ru-RU" w:eastAsia="ru-RU" w:val="ru-RU"/>
    </w:rPr>
  </w:style>
  <w:style w:customStyle="1" w:styleId="Grif" w:type="paragraph">
    <w:name w:val="Гриф"/>
    <w:basedOn w:val="BodyText"/>
    <w:qFormat/>
    <w:pPr>
      <w:keepNext/>
      <w:keepLines/>
      <w:spacing w:after="0" w:before="0" w:line="240" w:lineRule="auto"/>
      <w:ind w:firstLine="0" w:left="0" w:right="0"/>
      <w:jc w:val="right"/>
    </w:pPr>
    <w:rPr>
      <w:rFonts w:ascii="Times New Roman" w:cs="Times New Roman" w:eastAsia="Times New Roman" w:hAnsi="Times New Roman"/>
      <w:b w:val="0"/>
      <w:color w:val="000000"/>
      <w:sz w:val="28"/>
      <w:szCs w:val="28"/>
      <w:lang w:bidi="ru-RU" w:eastAsia="ru-RU" w:val="ru-RU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2.xm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2026-08-12T12:46:43Z</dcterms:created>
  <dcterms:modified xsi:type="dcterms:W3CDTF">2026-08-12T12:46:43Z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