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  <w:i w:val="0"/>
        </w:rPr>
        <w:t>Примеры заполнения номенклатуры</w:t>
      </w:r>
    </w:p>
    <w:p>
      <w:r>
        <w:rPr>
          <w:b w:val="0"/>
          <w:i w:val="0"/>
        </w:rPr>
        <w:t>Все строки и ситуации условные. Это иллюстрации, а не номенклатура школы и не образец срока для вашего дела. Сроки указаны только для статей 19а, 19б, 21 и 453 Перечня № 236. Для остальных документов срок определяют по применимому перечню или типовой номенклатуре учредителя.</w:t>
      </w:r>
    </w:p>
    <w:p>
      <w:pPr>
        <w:pStyle w:val="Heading1"/>
      </w:pPr>
      <w:r>
        <w:rPr>
          <w:b w:val="0"/>
          <w:i w:val="0"/>
        </w:rPr>
        <w:t>Пример заполнения формы сбора</w:t>
      </w:r>
    </w:p>
    <w:p>
      <w:r>
        <w:rPr>
          <w:b w:val="0"/>
          <w:i w:val="0"/>
        </w:rPr>
      </w:r>
      <w:r>
        <w:rPr>
          <w:b/>
          <w:i w:val="0"/>
        </w:rPr>
        <w:t>Раздел или направление:</w:t>
      </w:r>
      <w:r>
        <w:rPr>
          <w:b w:val="0"/>
          <w:i w:val="0"/>
        </w:rPr>
        <w:t xml:space="preserve"> Хозяйственное обеспечение</w:t>
      </w:r>
    </w:p>
    <w:p>
      <w:r>
        <w:rPr>
          <w:b w:val="0"/>
          <w:i w:val="0"/>
        </w:rPr>
      </w:r>
      <w:r>
        <w:rPr>
          <w:b/>
          <w:i w:val="0"/>
        </w:rPr>
        <w:t>Кто отвечает за перечень (должность):</w:t>
      </w:r>
      <w:r>
        <w:rPr>
          <w:b w:val="0"/>
          <w:i w:val="0"/>
        </w:rPr>
        <w:t xml:space="preserve"> Заместитель директора по административно-хозяйственной части</w:t>
      </w:r>
    </w:p>
    <w:p>
      <w:r>
        <w:rPr>
          <w:b w:val="0"/>
          <w:i w:val="0"/>
        </w:rPr>
      </w:r>
      <w:r>
        <w:rPr>
          <w:b/>
          <w:i w:val="0"/>
        </w:rPr>
        <w:t>Какие документы образуются фактически:</w:t>
      </w:r>
      <w:r>
        <w:rPr>
          <w:b w:val="0"/>
          <w:i w:val="0"/>
        </w:rPr>
        <w:t xml:space="preserve"> Приказы директора по административно-хозяйственным вопросам, например о проведении ремонта кабинета и назначении ответственных за него</w:t>
      </w:r>
    </w:p>
    <w:p>
      <w:r>
        <w:rPr>
          <w:b w:val="0"/>
          <w:i w:val="0"/>
        </w:rPr>
      </w:r>
      <w:r>
        <w:rPr>
          <w:b/>
          <w:i w:val="0"/>
        </w:rPr>
        <w:t>Предлагаемый заголовок дела:</w:t>
      </w:r>
      <w:r>
        <w:rPr>
          <w:b w:val="0"/>
          <w:i w:val="0"/>
        </w:rPr>
        <w:t xml:space="preserve"> Приказы директора по административно-хозяйственным вопросам</w:t>
      </w:r>
    </w:p>
    <w:p>
      <w:r>
        <w:rPr>
          <w:b w:val="0"/>
          <w:i w:val="0"/>
        </w:rPr>
      </w:r>
      <w:r>
        <w:rPr>
          <w:b/>
          <w:i w:val="0"/>
        </w:rPr>
        <w:t>Носитель (бумага / электронный / смешанный):</w:t>
      </w:r>
      <w:r>
        <w:rPr>
          <w:b w:val="0"/>
          <w:i w:val="0"/>
        </w:rPr>
        <w:t xml:space="preserve"> Бумажный</w:t>
      </w:r>
    </w:p>
    <w:p>
      <w:r>
        <w:rPr>
          <w:b w:val="0"/>
          <w:i w:val="0"/>
        </w:rPr>
      </w:r>
      <w:r>
        <w:rPr>
          <w:b/>
          <w:i w:val="0"/>
        </w:rPr>
        <w:t>Откуда известен срок хранения (перечень, статья) или вопрос по сроку:</w:t>
      </w:r>
      <w:r>
        <w:rPr>
          <w:b w:val="0"/>
          <w:i w:val="0"/>
        </w:rPr>
        <w:t xml:space="preserve"> Перечень № 236, ст. 19б</w:t>
      </w:r>
    </w:p>
    <w:p>
      <w:pPr>
        <w:sectPr>
          <w:footerReference w:type="default" r:id="rId9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>
      <w:pPr>
        <w:pStyle w:val="Heading1"/>
      </w:pPr>
      <w:r>
        <w:rPr>
          <w:b w:val="0"/>
          <w:i w:val="0"/>
        </w:rPr>
        <w:t>Строки номенклатуры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34"/>
        <w:gridCol w:w="3969"/>
        <w:gridCol w:w="1814"/>
        <w:gridCol w:w="3685"/>
        <w:gridCol w:w="3685"/>
      </w:tblGrid>
      <w:tr>
        <w:trPr>
          <w:cantSplit/>
          <w:tblHeader/>
        </w:trPr>
        <w:tc>
          <w:tcPr>
            <w:tcW w:type="dxa" w:w="1134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Индекс дела</w:t>
            </w:r>
          </w:p>
        </w:tc>
        <w:tc>
          <w:tcPr>
            <w:tcW w:type="dxa" w:w="3969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Заголовок дела</w:t>
            </w:r>
          </w:p>
        </w:tc>
        <w:tc>
          <w:tcPr>
            <w:tcW w:type="dxa" w:w="1814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Количество томов (частей)</w:t>
            </w:r>
          </w:p>
        </w:tc>
        <w:tc>
          <w:tcPr>
            <w:tcW w:type="dxa" w:w="3685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Срок хранения и № статьи по перечню</w:t>
            </w:r>
          </w:p>
        </w:tc>
        <w:tc>
          <w:tcPr>
            <w:tcW w:type="dxa" w:w="3685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Примечания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01-01</w:t>
            </w:r>
          </w:p>
        </w:tc>
        <w:tc>
          <w:tcPr>
            <w:tcW w:type="dxa" w:w="3969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Приказы директора по основной деятельности</w:t>
            </w:r>
          </w:p>
        </w:tc>
        <w:tc>
          <w:tcPr>
            <w:tcW w:type="dxa" w:w="181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85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Постоянно, ст. 19а Перечня № 236</w:t>
            </w:r>
          </w:p>
        </w:tc>
        <w:tc>
          <w:tcPr>
            <w:tcW w:type="dxa" w:w="3685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Вариант для организации — источника комплектования архива. Бумажное дело; сканы в [наименование СЭД] — справочные копии. Копии, присланные для сведения, — отдельное дело (примечание 1 к ст. 19)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01-01</w:t>
            </w:r>
          </w:p>
        </w:tc>
        <w:tc>
          <w:tcPr>
            <w:tcW w:type="dxa" w:w="3969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Приказы директора по основной деятельности</w:t>
            </w:r>
          </w:p>
        </w:tc>
        <w:tc>
          <w:tcPr>
            <w:tcW w:type="dxa" w:w="181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85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До ликвидации организации, ст. 19а, примечание 2 Перечня № 236</w:t>
            </w:r>
          </w:p>
        </w:tc>
        <w:tc>
          <w:tcPr>
            <w:tcW w:type="dxa" w:w="3685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Вариант для организации, не являющейся источником комплектования архива. Бумажное дело; сканы в [наименование СЭД] — справочные копии. Копии, присланные для сведения, — отдельное дело (примечание 1 к ст. 19)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01-02</w:t>
            </w:r>
          </w:p>
        </w:tc>
        <w:tc>
          <w:tcPr>
            <w:tcW w:type="dxa" w:w="3969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Приказы директора по административно-хозяйственным вопросам</w:t>
            </w:r>
          </w:p>
        </w:tc>
        <w:tc>
          <w:tcPr>
            <w:tcW w:type="dxa" w:w="181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85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5 лет, ст. 19б Перечня № 236</w:t>
            </w:r>
          </w:p>
        </w:tc>
        <w:tc>
          <w:tcPr>
            <w:tcW w:type="dxa" w:w="3685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[бумажное / электронное / смешанное дело]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01-03</w:t>
            </w:r>
          </w:p>
        </w:tc>
        <w:tc>
          <w:tcPr>
            <w:tcW w:type="dxa" w:w="3969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Документы (доклады, отчёты, справки, переписка) о выполнении приказов, распоряжений</w:t>
            </w:r>
          </w:p>
        </w:tc>
        <w:tc>
          <w:tcPr>
            <w:tcW w:type="dxa" w:w="181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85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5 лет ЭПК, ст. 21 Перечня № 236</w:t>
            </w:r>
          </w:p>
        </w:tc>
        <w:tc>
          <w:tcPr>
            <w:tcW w:type="dxa" w:w="3685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Отметка ЭПК: при экспертизе часть документов может быть отобрана на постоянное хранение</w:t>
            </w:r>
          </w:p>
        </w:tc>
      </w:tr>
      <w:tr>
        <w:trPr>
          <w:cantSplit/>
        </w:trPr>
        <w:tc>
          <w:tcPr>
            <w:tcW w:type="dxa" w:w="1134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02-01</w:t>
            </w:r>
          </w:p>
        </w:tc>
        <w:tc>
          <w:tcPr>
            <w:tcW w:type="dxa" w:w="3969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Графики отпусков работников</w:t>
            </w:r>
          </w:p>
        </w:tc>
        <w:tc>
          <w:tcPr>
            <w:tcW w:type="dxa" w:w="181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85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3 года, ст. 453 Перечня № 236</w:t>
            </w:r>
          </w:p>
        </w:tc>
        <w:tc>
          <w:tcPr>
            <w:tcW w:type="dxa" w:w="3685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Срок идёт с 1 января года, следующего за годом завершения дела</w:t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Две строки 01-01 — два варианта одного дела: школа берёт только один, по своему статусу. Индексы условные: схему индексации школа задаёт сама. Строки 01-01 и 01-02 показывают, почему приказы с разными сроками разделяют на отдельные дела. Статья 21 не ограничена приказами по основной деятельности, а её дело, наоборот, объединяет документы нескольких видов по одному вопросу. Приказов по личному составу в таблице нет: их срок определяют по отдельной статье, и выводить его из этих строк нельзя.</w:t>
      </w:r>
    </w:p>
    <w:p>
      <w:pPr>
        <w:sectPr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>
      <w:pPr>
        <w:pStyle w:val="Heading1"/>
      </w:pPr>
      <w:r>
        <w:rPr>
          <w:b w:val="0"/>
          <w:i w:val="0"/>
        </w:rPr>
        <w:t>Как читать графы на этих строках</w:t>
      </w:r>
    </w:p>
    <w:p>
      <w:r>
        <w:rPr>
          <w:b w:val="0"/>
          <w:i w:val="0"/>
        </w:rPr>
      </w:r>
      <w:r>
        <w:rPr>
          <w:b/>
          <w:i w:val="0"/>
        </w:rPr>
        <w:t>Индекс дела.</w:t>
      </w:r>
      <w:r>
        <w:rPr>
          <w:b w:val="0"/>
          <w:i w:val="0"/>
        </w:rPr>
        <w:t xml:space="preserve"> Раздел 01 — руководство и организация деятельности, раздел 02 — кадровое обеспечение. Внутри раздела дела нумеруются по порядку. Принятую схему лучше сохранять, изменения вносить по инструкции школы.</w:t>
      </w:r>
    </w:p>
    <w:p>
      <w:r>
        <w:rPr>
          <w:b w:val="0"/>
          <w:i w:val="0"/>
        </w:rPr>
      </w:r>
      <w:r>
        <w:rPr>
          <w:b/>
          <w:i w:val="0"/>
        </w:rPr>
        <w:t>Заголовок дела.</w:t>
      </w:r>
      <w:r>
        <w:rPr>
          <w:b w:val="0"/>
          <w:i w:val="0"/>
        </w:rPr>
        <w:t xml:space="preserve"> Строка 01-01 называет вид приказов и исполнителя. Слово «Приказы» без уточнения не позволяет определить статью.</w:t>
      </w:r>
    </w:p>
    <w:p>
      <w:r>
        <w:rPr>
          <w:b w:val="0"/>
          <w:i w:val="0"/>
        </w:rPr>
      </w:r>
      <w:r>
        <w:rPr>
          <w:b/>
          <w:i w:val="0"/>
        </w:rPr>
        <w:t>Количество томов (частей).</w:t>
      </w:r>
      <w:r>
        <w:rPr>
          <w:b w:val="0"/>
          <w:i w:val="0"/>
        </w:rPr>
        <w:t xml:space="preserve"> В проекте на год графу удобно оставить пустой: по итогам 2027 года в неё вносят фактическое число, и ничего не приходится исправлять. Правила требуют итоговую запись в конце года (п. 13), а пустую графу в проекте не предписывают.</w:t>
      </w:r>
    </w:p>
    <w:p>
      <w:r>
        <w:rPr>
          <w:b w:val="0"/>
          <w:i w:val="0"/>
        </w:rPr>
      </w:r>
      <w:r>
        <w:rPr>
          <w:b/>
          <w:i w:val="0"/>
        </w:rPr>
        <w:t>Срок хранения и № статьи по перечню.</w:t>
      </w:r>
      <w:r>
        <w:rPr>
          <w:b w:val="0"/>
          <w:i w:val="0"/>
        </w:rPr>
        <w:t xml:space="preserve"> Срок записывают вместе со статьёй. Если применён другой перечень, записывают его реквизиты и статью. Отметку ЭПК переносят из источника.</w:t>
      </w:r>
    </w:p>
    <w:p>
      <w:r>
        <w:rPr>
          <w:b w:val="0"/>
          <w:i w:val="0"/>
        </w:rPr>
      </w:r>
      <w:r>
        <w:rPr>
          <w:b/>
          <w:i w:val="0"/>
        </w:rPr>
        <w:t>Примечания.</w:t>
      </w:r>
      <w:r>
        <w:rPr>
          <w:b w:val="0"/>
          <w:i w:val="0"/>
        </w:rPr>
        <w:t xml:space="preserve"> Вид носителя и особенности формирования дела. Название электронной системы пишите так, как оно записано в документах школы; запись в номенклатуре — справочник для учёта, а не гарантия того, что система сама отбирает и архивирует дела.</w:t>
      </w:r>
    </w:p>
    <w:p>
      <w:pPr>
        <w:pStyle w:val="Heading1"/>
      </w:pPr>
      <w:r>
        <w:rPr>
          <w:b w:val="0"/>
          <w:i w:val="0"/>
        </w:rPr>
        <w:t>Расчёт срока</w:t>
      </w:r>
    </w:p>
    <w:p>
      <w:r>
        <w:rPr>
          <w:b w:val="0"/>
          <w:i w:val="0"/>
        </w:rPr>
        <w:t>Срок идёт с 1 января года, следующего за годом, когда дело закончено делопроизводством (п. 4.1 Инструкции № 237).</w:t>
      </w:r>
    </w:p>
    <w:p>
      <w:r>
        <w:rPr>
          <w:b w:val="0"/>
          <w:i w:val="0"/>
        </w:rPr>
        <w:t>Графики отпусков (ст. 453, 3 года). Дело закончено в 2027 году. Срок идёт с 1 января 2028 года: 2028, 2029, 2030. Истекает 31 декабря 2030 года. Включение в акт о выделении к уничтожению возможно не раньше 2031 года, после экспертизы и оформления акта (п. 26 Правил № 77). Дата подписания графика в декабре 2026 года на расчёт не влияет.</w:t>
      </w:r>
    </w:p>
    <w:p>
      <w:r>
        <w:rPr>
          <w:b w:val="0"/>
          <w:i w:val="0"/>
        </w:rPr>
        <w:t>Приказы по административно-хозяйственным вопросам (ст. 19б, 5 лет). Дело закончено в 2027 году. Срок идёт с 1 января 2028 года: 2028–2032. Истекает 31 декабря 2032 года. Кандидат на включение в акт — не раньше 2033 года, после экспертизы.</w:t>
      </w:r>
    </w:p>
    <w:p>
      <w:r>
        <w:rPr>
          <w:b w:val="0"/>
          <w:i w:val="0"/>
        </w:rPr>
        <w:t>Носитель (бумага, электронный документ, смешанное дело) срок не меняет (п. 4.2).</w:t>
      </w:r>
    </w:p>
    <w:p>
      <w:pPr>
        <w:pStyle w:val="Heading1"/>
      </w:pPr>
      <w:r>
        <w:rPr>
          <w:b w:val="0"/>
          <w:i w:val="0"/>
        </w:rPr>
        <w:t>Пример графика подготовки (не требование закона)</w:t>
      </w:r>
    </w:p>
    <w:p>
      <w:r>
        <w:rPr>
          <w:b w:val="0"/>
          <w:i w:val="0"/>
        </w:rPr>
        <w:t>Правила № 77 не устанавливают ни даты начала работ, ни дня заседания ЭК. Для примера школа может распланировать так:</w:t>
      </w:r>
    </w:p>
    <w:p>
      <w:pPr>
        <w:pStyle w:val="ListBullet"/>
      </w:pPr>
      <w:r>
        <w:rPr>
          <w:b w:val="0"/>
          <w:i w:val="0"/>
        </w:rPr>
        <w:t>начало ноября — приказ о подготовке и рассылка формы сбора; в те же дни, если актуального подтверждения статуса нет, запрос в архив или учредителю о статусе школы, применимых перечнях и сроках рассмотрения номенклатуры ЭПК (для источника комплектования);</w:t>
      </w:r>
    </w:p>
    <w:p>
      <w:pPr>
        <w:pStyle w:val="ListBullet"/>
      </w:pPr>
      <w:r>
        <w:rPr>
          <w:b w:val="0"/>
          <w:i w:val="0"/>
        </w:rPr>
        <w:t>середина ноября — получены заполненные формы от руководителей направлений, ответ архива приобщён к материалам;</w:t>
      </w:r>
    </w:p>
    <w:p>
      <w:pPr>
        <w:pStyle w:val="ListBullet"/>
      </w:pPr>
      <w:r>
        <w:rPr>
          <w:b w:val="0"/>
          <w:i w:val="0"/>
        </w:rPr>
        <w:t>до конца ноября — для источника комплектования: проверка, нужно ли представление ЭПК, и при наличии оснований его подготовка с учётом сроков, названных архивом; по делам без определённого срока — подготовка вопроса по пункту 32 Правил и доклад директору;</w:t>
      </w:r>
    </w:p>
    <w:p>
      <w:pPr>
        <w:pStyle w:val="ListBullet"/>
      </w:pPr>
      <w:r>
        <w:rPr>
          <w:b w:val="0"/>
          <w:i w:val="0"/>
        </w:rPr>
        <w:t>начало декабря — сводный проект, подпись ответственного за делопроизводство и виза ответственного за архив;</w:t>
      </w:r>
    </w:p>
    <w:p>
      <w:pPr>
        <w:pStyle w:val="ListBullet"/>
      </w:pPr>
      <w:r>
        <w:rPr>
          <w:b w:val="0"/>
          <w:i w:val="0"/>
        </w:rPr>
        <w:t>середина декабря — заседание ЭК и протокол;</w:t>
      </w:r>
    </w:p>
    <w:p>
      <w:pPr>
        <w:pStyle w:val="ListBullet"/>
      </w:pPr>
      <w:r>
        <w:rPr>
          <w:b w:val="0"/>
          <w:i w:val="0"/>
        </w:rPr>
        <w:t>конец декабря — приказ об утверждении; ввод в действие с 1 января 2027 года.</w:t>
      </w:r>
    </w:p>
    <w:p>
      <w:pPr>
        <w:pStyle w:val="Heading1"/>
      </w:pPr>
      <w:r>
        <w:rPr>
          <w:b w:val="0"/>
          <w:i w:val="0"/>
        </w:rPr>
        <w:t>Условные случаи</w:t>
      </w:r>
    </w:p>
    <w:p>
      <w:r>
        <w:rPr>
          <w:b w:val="0"/>
          <w:i w:val="0"/>
        </w:rPr>
      </w:r>
      <w:r>
        <w:rPr>
          <w:b/>
          <w:i w:val="0"/>
        </w:rPr>
        <w:t>Школа без отделов.</w:t>
      </w:r>
      <w:r>
        <w:rPr>
          <w:b w:val="0"/>
          <w:i w:val="0"/>
        </w:rPr>
        <w:t xml:space="preserve"> Разделы строят по функциям и направлениям: руководство и организация деятельности, учебная работа, воспитательная работа, кадровое обеспечение, хозяйственное обеспечение и безопасность. За перечень каждого раздела отвечает назначенный работник.</w:t>
      </w:r>
    </w:p>
    <w:p>
      <w:r>
        <w:rPr>
          <w:b w:val="0"/>
          <w:i w:val="0"/>
        </w:rPr>
      </w:r>
      <w:r>
        <w:rPr>
          <w:b/>
          <w:i w:val="0"/>
        </w:rPr>
        <w:t>Бумажное дело и справочные сканы.</w:t>
      </w:r>
      <w:r>
        <w:rPr>
          <w:b w:val="0"/>
          <w:i w:val="0"/>
        </w:rPr>
        <w:t xml:space="preserve"> Приказы подписаны на бумаге, сканы лежат в СЭД для поиска. Дело бумажное; в примечании: «бумажное дело; сканы в [наименование СЭД] — справочные копии». Скан бумажного оригинала смешанного дела не образует.</w:t>
      </w:r>
    </w:p>
    <w:p>
      <w:r>
        <w:rPr>
          <w:b w:val="0"/>
          <w:i w:val="0"/>
        </w:rPr>
      </w:r>
      <w:r>
        <w:rPr>
          <w:b/>
          <w:i w:val="0"/>
        </w:rPr>
        <w:t>Смешанное дело.</w:t>
      </w:r>
      <w:r>
        <w:rPr>
          <w:b w:val="0"/>
          <w:i w:val="0"/>
        </w:rPr>
        <w:t xml:space="preserve"> Часть приказов одного вида издана на бумаге, часть оформлена электронными документами, и школа решила вести их общим делом. Тогда дело смешанное, а в примечании указывают две части и название системы. Одинаковый срок сам по себе не обязывает объединять такие документы: школа вправе вести два отдельных дела и закрепить выбор в инструкции по делопроизводству. В итоговой записи бумажные тома считают в разделе «на бумажном носителе», электронные — в разделе «электронных».</w:t>
      </w:r>
    </w:p>
    <w:p>
      <w:r>
        <w:rPr>
          <w:b w:val="0"/>
          <w:i w:val="0"/>
        </w:rPr>
      </w:r>
      <w:r>
        <w:rPr>
          <w:b/>
          <w:i w:val="0"/>
        </w:rPr>
        <w:t>Разделение приказов.</w:t>
      </w:r>
      <w:r>
        <w:rPr>
          <w:b w:val="0"/>
          <w:i w:val="0"/>
        </w:rPr>
        <w:t xml:space="preserve"> Отдельные дела: приказы по основной деятельности; приказы по административно-хозяйственным вопросам; копии, присланные для сведения; приказы по личному составу (срок по своей статье, из этого файла он не выводится). Разделяют их потому, что у них разные статьи и сроки.</w:t>
      </w:r>
    </w:p>
    <w:p>
      <w:pPr>
        <w:pStyle w:val="Heading1"/>
      </w:pPr>
      <w:r>
        <w:rPr>
          <w:b w:val="0"/>
          <w:i w:val="0"/>
        </w:rPr>
        <w:t>Дела, по которым срок нужно выяснить</w:t>
      </w:r>
    </w:p>
    <w:p>
      <w:r>
        <w:rPr>
          <w:b w:val="0"/>
          <w:i w:val="0"/>
        </w:rPr>
        <w:t>По этим документам срок в примерах не указан. Прежде чем вносить строки в номенклатуру, ответьте на вопросы:</w:t>
      </w:r>
    </w:p>
    <w:p>
      <w:pPr>
        <w:pStyle w:val="ListBullet"/>
      </w:pPr>
      <w:r>
        <w:rPr>
          <w:b w:val="0"/>
          <w:i w:val="0"/>
        </w:rPr>
        <w:t>Личные дела обучающихся. Какой перечень или типовая номенклатура учредителя к ним применима? Каким документом это подтверждено?</w:t>
      </w:r>
    </w:p>
    <w:p>
      <w:pPr>
        <w:pStyle w:val="ListBullet"/>
      </w:pPr>
      <w:r>
        <w:rPr>
          <w:b w:val="0"/>
          <w:i w:val="0"/>
        </w:rPr>
        <w:t>Журналы (учёта, инструктажей и другие школьные журналы). В каком применимом перечне они названы и под какой статьёй?</w:t>
      </w:r>
    </w:p>
    <w:p>
      <w:pPr>
        <w:pStyle w:val="ListBullet"/>
      </w:pPr>
      <w:r>
        <w:rPr>
          <w:b w:val="0"/>
          <w:i w:val="0"/>
        </w:rPr>
        <w:t>Книга регистрации выданных аттестатов. Какой перечень применим и какая статья?</w:t>
      </w:r>
    </w:p>
    <w:p>
      <w:r>
        <w:rPr>
          <w:b w:val="0"/>
          <w:i w:val="0"/>
        </w:rPr>
        <w:t>Срок из Перечня № 236 «по сходству» подставлять нельзя. Если после выяснения срока по делу нет, действуют по пункту 32 Правил № 77: ЭК готовит обоснованное предложение; для статей перечня типовых документов вопрос направляют на рассмотрение ЭПК архивного учреждения, для ведомственного перечня — в ЦЭК соответствующего органа государственной власти.</w:t>
      </w:r>
    </w:p>
    <w:p>
      <w:r>
        <w:rPr>
          <w:b w:val="0"/>
          <w:i w:val="0"/>
        </w:rPr>
        <w:t>Дело при этом остаётся в рабочем перечне: документы всё равно образуются. До утверждения основание срока устанавливают через ЭК, архив или процедуру пункта 32, а ответственный докладывает директору, какие вопросы остались открытыми. Срок самовольно не присваивают, открытый вопрос не отмечают как выполненную проверку, а неизвестный срок не повод уничтожать документы: их хранят и досрочно не уничтожают.</w:t>
      </w:r>
    </w:p>
    <w:p>
      <w:pPr>
        <w:pStyle w:val="Heading1"/>
      </w:pPr>
      <w:r>
        <w:rPr>
          <w:b w:val="0"/>
          <w:i w:val="0"/>
        </w:rPr>
        <w:t>Образец запроса о статусе школы</w:t>
      </w:r>
    </w:p>
    <w:p>
      <w:r>
        <w:rPr>
          <w:b w:val="0"/>
          <w:i w:val="0"/>
        </w:rPr>
        <w:t>Образец нужен, если актуального подтверждения статуса и применимых перечней нет или оно вызывает сомнения. Отправьте запрос в начале подготовки.</w:t>
      </w:r>
    </w:p>
    <w:p>
      <w:r>
        <w:rPr>
          <w:b w:val="0"/>
          <w:i w:val="0"/>
        </w:rPr>
        <w:t>В [наименование муниципального архива или учредителя]</w:t>
      </w:r>
    </w:p>
    <w:p>
      <w:r>
        <w:rPr>
          <w:b w:val="0"/>
          <w:i w:val="0"/>
        </w:rPr>
        <w:t>от [полное наименование образовательной организации]</w:t>
      </w:r>
    </w:p>
    <w:p>
      <w:r>
        <w:rPr>
          <w:b w:val="0"/>
          <w:i w:val="0"/>
        </w:rPr>
        <w:t>Просим сообщить:</w:t>
      </w:r>
    </w:p>
    <w:p>
      <w:r>
        <w:rPr>
          <w:b w:val="0"/>
          <w:i w:val="0"/>
        </w:rPr>
        <w:t>1. Включена ли [наименование организации] в список источников комплектования [наименование архива].</w:t>
      </w:r>
    </w:p>
    <w:p>
      <w:r>
        <w:rPr>
          <w:b w:val="0"/>
          <w:i w:val="0"/>
        </w:rPr>
        <w:t>2. Какие перечни сроков хранения документов и какие типовые или примерные номенклатуры дел подлежат применению в нашей организации.</w:t>
      </w:r>
    </w:p>
    <w:p>
      <w:r>
        <w:rPr>
          <w:b w:val="0"/>
          <w:i w:val="0"/>
        </w:rPr>
        <w:t>3. Рассматривалась ли номенклатура дел организации экспертно-проверочной комиссией архива и когда; требуется ли её представление в ближайшее время и в какие сроки архив его рассматривает.</w:t>
      </w:r>
    </w:p>
    <w:p>
      <w:r>
        <w:rPr>
          <w:b w:val="0"/>
          <w:i w:val="0"/>
        </w:rPr>
        <w:t>[Должность руководителя] [подпись] [И.О. Фамилия]</w:t>
      </w:r>
    </w:p>
    <w:p>
      <w:r>
        <w:rPr>
          <w:b w:val="0"/>
          <w:i w:val="0"/>
        </w:rPr>
        <w:t>[Исполнитель, телефон] [дата]</w:t>
      </w:r>
    </w:p>
    <w:sectPr w:rsidR="00FC693F" w:rsidRPr="0006063C" w:rsidSect="00034616"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2A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172A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17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172A3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07. Примеры заполнения</dc:title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