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Ребёнок без прививки и инфекция в школе: когда можно временно не пускать его на занятия и как это оформить</w:t>
      </w:r>
    </w:p>
    <w:p>
      <w:r>
        <w:rPr>
          <w:i/>
        </w:rPr>
        <w:t>Дата проверки норм: 20.10.2026.</w:t>
      </w:r>
    </w:p>
    <w:p>
      <w:r>
        <w:t>Отсутствие прививки само по себе не даёт права запретить ребёнку посещать школу или детский сад. Закон об иммунопрофилактике сохраняет за родителями право отказаться от прививок (пункт 1 статьи 5 Федерального закона от 17.09.1998 № 157-ФЗ). Временный отказ в приёме в образовательные организации тот же закон связывает с массовыми инфекционными заболеваниями или угрозой эпидемий (пункт 2 статьи 5). Кого именно, при каких обстоятельствах и на сколько дней не допускают, определяет СанПиН 3.3686-21. Для каждой инфекции там своё событие-повод, свой круг детей и своя точка отсчёта срока.</w:t>
      </w:r>
    </w:p>
    <w:p>
      <w:r>
        <w:t>Поэтому одного приказа «на всех непривитых» быть не может. При кори, краснухе и эпидемическом паротите школа оформляет временный недопуск в очаге конкретной инфекции. При профилактике вакциноассоциированного полиомиелита после прививок ОПВ заболевший для меры не нужен: ребёнка сначала переводят в другой класс или группу и только при объективной невозможности перевода не допускают. Ведение очага при выявленном случае полиомиелита статья не описывает. При ветряной оспе в группе детского сада организуют режимные и дезинфекционные меры, и непривитых детей, которые продолжают ходить, домой не отправляют.</w:t>
      </w:r>
    </w:p>
    <w:p>
      <w:pPr>
        <w:pStyle w:val="Heading2"/>
      </w:pPr>
      <w:r>
        <w:t>Кто устанавливает очаг и кто исполняет меры</w:t>
      </w:r>
    </w:p>
    <w:p>
      <w:r>
        <w:t>Карантин вводят уполномоченные органы в порядке статьи 31 Федерального закона от 30.03.1999 № 52-ФЗ. Директор своим приказом карантин не объявляет и границы очага не определяет. При кори, краснухе и паротите это по пункту 2742 СанПиН 3.3686-21 делают специалисты территориального органа санитарно-эпидемиологического надзора: они устанавливают границы очага по месту жительства, работы и учёбы заболевшего, круг контактных и их прививочный и инфекционный анамнез. Очагом не обязательно окажется вся школа и не обязательно один класс: дети пересекаются на продлёнке, в кружках, на общих занятиях.</w:t>
      </w:r>
    </w:p>
    <w:p>
      <w:r>
        <w:t>Школа организует исполнение мер. Приказ должен опираться на документ медицинской организации или территориального отдела Роспотребнадзора с названием, датой и номером. Сообщение в родительском чате таким документом не является. Ждать отдельного предписания на каждого ребёнка санитарные правила при этом не требуют: если медицинская организация сообщила о случае, обязательные меры начинают сразу, а письменное подтверждение запрашивают параллельно.</w:t>
      </w:r>
    </w:p>
    <w:p>
      <w:pPr>
        <w:pStyle w:val="Heading2"/>
      </w:pPr>
      <w:r>
        <w:t>Что запускает ограничение и от чего считают срок</w:t>
      </w:r>
    </w:p>
    <w:p>
      <w:r>
        <w:t>Сроки у разных инфекций отсчитывают от разных событий. Перепутать их легко, а ошибка в дате оборачивается лишними днями дома или преждевременным возвращением в класс.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2438"/>
        <w:gridCol w:w="2494"/>
        <w:gridCol w:w="2324"/>
      </w:tblGrid>
      <w:tr>
        <w:trPr>
          <w:cantSplit/>
          <w:tblHeader/>
        </w:trPr>
        <w:tc>
          <w:tcPr>
            <w:tcW w:type="dxa" w:w="209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/>
                <w:sz w:val="22"/>
              </w:rPr>
              <w:t>Ситуация</w:t>
            </w:r>
          </w:p>
        </w:tc>
        <w:tc>
          <w:tcPr>
            <w:tcW w:type="dxa" w:w="243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/>
                <w:sz w:val="22"/>
              </w:rPr>
              <w:t>Кого касается мера</w:t>
            </w:r>
          </w:p>
        </w:tc>
        <w:tc>
          <w:tcPr>
            <w:tcW w:type="dxa" w:w="249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/>
                <w:sz w:val="22"/>
              </w:rPr>
              <w:t>Что делает организация</w:t>
            </w:r>
          </w:p>
        </w:tc>
        <w:tc>
          <w:tcPr>
            <w:tcW w:type="dxa" w:w="232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/>
                <w:sz w:val="22"/>
              </w:rPr>
              <w:t>От чего считают срок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Очаг кори, краснухи или эпидемического паротита в школе или детском саду (п. 2743)</w:t>
            </w:r>
          </w:p>
        </w:tc>
        <w:tc>
          <w:tcPr>
            <w:tcW w:type="dxa" w:w="243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Не болевших этой инфекцией и не привитых против неё или привитых до 21 календарного дня</w:t>
            </w:r>
          </w:p>
        </w:tc>
        <w:tc>
          <w:tcPr>
            <w:tcW w:type="dxa" w:w="249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Не принимает вновь и временно не допускает таких лиц</w:t>
            </w:r>
          </w:p>
        </w:tc>
        <w:tc>
          <w:tcPr>
            <w:tcW w:type="dxa" w:w="232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С выявления первого больного до 21 дня с выявления последнего заболевшего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Дети в коллективе привиты живой оральной полиовакциной, ОПВ (пп. 2513, 2516)</w:t>
            </w:r>
          </w:p>
        </w:tc>
        <w:tc>
          <w:tcPr>
            <w:tcW w:type="dxa" w:w="243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Детей без сведений об иммунизации против полиомиелита, непривитых или получивших менее трёх доз</w:t>
            </w:r>
          </w:p>
        </w:tc>
        <w:tc>
          <w:tcPr>
            <w:tcW w:type="dxa" w:w="249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Переводит в класс или группу без недавно привитых ОПВ; не допускает только при объективной невозможности перевода</w:t>
            </w:r>
          </w:p>
        </w:tc>
        <w:tc>
          <w:tcPr>
            <w:tcW w:type="dxa" w:w="232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60 календарных дней с последней прививки ОПВ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Ветряная оспа дома у ребёнка, который ходит в детский сад (п. 2845)</w:t>
            </w:r>
          </w:p>
        </w:tc>
        <w:tc>
          <w:tcPr>
            <w:tcW w:type="dxa" w:w="243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Детей до 7 лет, не болевших, не привитых или не завершивших курс вакцинации</w:t>
            </w:r>
          </w:p>
        </w:tc>
        <w:tc>
          <w:tcPr>
            <w:tcW w:type="dxa" w:w="249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Действует по сведениям врача о конкретном ребёнке</w:t>
            </w:r>
          </w:p>
        </w:tc>
        <w:tc>
          <w:tcPr>
            <w:tcW w:type="dxa" w:w="232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21 календарный день с последнего общения с заболевшим; при точной дате контакта — посещение первые 10 дней, дома с 11-го по 21-й</w:t>
            </w:r>
          </w:p>
        </w:tc>
      </w:tr>
      <w:tr>
        <w:trPr>
          <w:cantSplit/>
        </w:trPr>
        <w:tc>
          <w:tcPr>
            <w:tcW w:type="dxa" w:w="209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Ветряная оспа в группе дошкольного подразделения, дети до 7 лет (пп. 2848, 2850, 2851)</w:t>
            </w:r>
          </w:p>
        </w:tc>
        <w:tc>
          <w:tcPr>
            <w:tcW w:type="dxa" w:w="2438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Группу, где зарегистрирован случай</w:t>
            </w:r>
          </w:p>
        </w:tc>
        <w:tc>
          <w:tcPr>
            <w:tcW w:type="dxa" w:w="249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Организует осмотры, режимные и дезинфекционные меры; не принимает в группу новых и временно отсутствовавших неболевших и непривитых детей</w:t>
            </w:r>
          </w:p>
        </w:tc>
        <w:tc>
          <w:tcPr>
            <w:tcW w:type="dxa" w:w="2324"/>
          </w:tcPr>
          <w:p>
            <w:pPr>
              <w:spacing w:after="80" w:before="60" w:line="252" w:lineRule="auto"/>
              <w:ind w:firstLine="0"/>
              <w:jc w:val="left"/>
            </w:pPr>
            <w:r>
              <w:rPr>
                <w:b w:val="0"/>
                <w:sz w:val="22"/>
              </w:rPr>
              <w:t>21 календарный день с изоляции последнего заболевшего</w:t>
            </w:r>
          </w:p>
        </w:tc>
      </w:tr>
    </w:tbl>
    <w:p/>
    <w:p>
      <w:pPr>
        <w:pStyle w:val="Heading2"/>
      </w:pPr>
      <w:r>
        <w:t>Корь, краснуха, паротит: одна норма, три разных очага</w:t>
      </w:r>
    </w:p>
    <w:p>
      <w:r>
        <w:t>Пункт 2743 СанПиН 3.3686-21 одинаково устроен для трёх инфекций, но применяют его к каждой отдельно. При выявлении очага в детском саду или школе с момента выявления первого больного до 21 дня с момента выявления последнего заболевшего в коллектив не принимают вновь и отстраняют лиц, не болевших корью, краснухой или эпидемическим паротитом и не привитых против этих инфекций или привитых до 21 календарного дня. Сведения о болезни и прививках должны относиться к выявленной инфекции: очаг кори не даёт оснований отстранять детей, у которых нет прививки против краснухи. Норма говорит о «лицах», поэтому вопрос о работниках, не защищённых от инфекции, школа тоже обсуждает с медицинской организацией.</w:t>
      </w:r>
    </w:p>
    <w:p>
      <w:r>
        <w:t>Слово «непривитые» не описывает круг детей, которых касается пункт. Ребёнок без прививки мог переболеть. У другого прививка была, просто школа о ней не знает. Ребёнок, которого привили несколько дней назад, наоборот, под ограничение подпадает: норма прямо называет привитых до 21 календарного дня. Сопоставлять эти сведения должны медицинские работники, педагогу с таблицей прививок такая задача не по силам и не по полномочиям. Контактный и отстраняемый — тоже разные категории. За контактными устанавливают медицинское наблюдение на 21 день с выявления последнего случая (пункт 2750), медицинские работники ежедневно их осматривают (пункт 2751), а не допускают из них только тех, кого описывает пункт 2743. Список контактных нельзя просто переименовать в список отстраняемых.</w:t>
      </w:r>
    </w:p>
    <w:p>
      <w:r>
        <w:t>Срок привязан к выявлению последнего заболевшего, поэтому дату окончания не выводят из даты приказа или из первого случая. Сроки лечения и изоляции самого больного описаны в других пунктах правил и к ограничению для здоровых детей не относятся.</w:t>
      </w:r>
    </w:p>
    <w:p>
      <w:r>
        <w:t>Условный пример. В классе выявлен случай кори, школа по сведениям медицинской организации издала приказ и сообщила семьям дату окончания ограничения. Через неделю в том же очаге выявлен второй заболевший. Срок теперь отсчитывают от нового случая, и дата в первом уведомлении больше не верна. Школа получает новую дату от медицинской организации или территориального отдела, вносит изменение в приказ и пишет каждой затронутой семье. Молча продлить ограничение так же неправильно, как вернуть детей по старой дате.</w:t>
      </w:r>
    </w:p>
    <w:p>
      <w:r>
        <w:t>Решение пересматривают, когда появляются новые сведения. Документы о перенесённой болезни, прививках или обследовании школа передаёт медицинскому работнику и сама их не толкует. Для кори есть отдельное разъяснение: письмо Роспотребнадзора от 05.07.2024 № 09-9087-2024-40 допускает рассмотрение допуска ребёнка в коллектив, где регистрируется корь, при положительном результате обследования на IgG к кори. Результат оценивает врач-инфекционист или иммунолог. Письмо не вводит обязательный анализ для всех и не меняет СанПиН, но отмахнуться от такого заключения только потому, что в школьной таблице нет отметки о прививке, школа не может.</w:t>
      </w:r>
    </w:p>
    <w:p>
      <w:r>
        <w:t>Прививка, сделанная уже после выявления очага, не означает, что назавтра ребёнок придёт в класс: условия допуска оценивает медик. По той же причине формулировка «до проведения вакцинации» не годится как условие окончания ограничения. Медицинский отвод от прививки иммунитета не подтверждает. Как защитить такого ребёнка в очаге, школа решает с врачом и территориальным органом и не обещает семье, что отвод автоматически снимает ограничение.</w:t>
      </w:r>
    </w:p>
    <w:p>
      <w:pPr>
        <w:pStyle w:val="Heading2"/>
      </w:pPr>
      <w:r>
        <w:t>Полиомиелит: профилактическая мера после прививок ОПВ</w:t>
      </w:r>
    </w:p>
    <w:p>
      <w:r>
        <w:t>Здесь логика другая: чтобы мера применялась, заболевший не нужен (пункты 2513, 2516); ведение очага при выявленном случае полиомиелита в этом разделе не рассматривается. Пункт 2512 СанПиН 3.3686-21 называет цель мер — профилактика вакциноассоциированного паралитического полиомиелита у контактных с детьми, получившими прививку живой оральной полиовакциной (ОПВ) в течение последних 60 календарных дней. По пункту 2513 руководители образовательных организаций разобщают с такими детьми тех, у кого нет сведений об иммунизации против полиомиелита, кто не привит или получил менее трёх доз полиомиелитной вакцины. Срок — 60 календарных дней с момента получения детьми последней прививки ОПВ.</w:t>
      </w:r>
    </w:p>
    <w:p>
      <w:r>
        <w:t>Правило касается только ОПВ: прививка инактивированной вакциной (ИПВ) этот 60-дневный период не запускает. Срок привязан к дате прививки, поэтому сведения, полученные с опозданием, нового отсчёта не дают. Если медицинская организация сообщила о прививках через две недели, разобщение продлится до истечения 60 дней с даты прививки, то есть заметно меньше двух месяцев от даты письма.</w:t>
      </w:r>
    </w:p>
    <w:p>
      <w:r>
        <w:t>Способ разобщения задаёт пункт 2516: ребёнка временно переводят в группу, класс или отряд, где нет детей, привитых ОПВ в последние 60 дней. Отстранение возможно, только если перевести ребёнка нельзя по объективным причинам. Норма называет их: в организации нет принципа групповой изоляции; совместные мероприятия проходят в музыкальном, актовом или спортивном зале; недавно привитые ОПВ есть во всех группах или классах.</w:t>
      </w:r>
    </w:p>
    <w:p>
      <w:r>
        <w:t>Перевод, оформленный только на бумаге, ничего не меняет. Если ребёнка записали в параллельный класс, а на переменах, в столовой и в спортзале он по-прежнему рядом с недавно привитыми одноклассниками, разобщения нет. Поэтому до решения завуч вместе с медицинским работником проходит по учебному дню: уроки, перемены, питание, кружки, занятия в общих залах, линейки и праздники. Иногда достаточно сдвинуть время обеда и провести несколько занятий отдельно. Принимающий класс подходит, только если ребёнок сможет продолжать там свою программу в полном объёме. Если класс без недавно привитых учится по другой программе, например в другой параллели, перевод туда с заменой уроков заданиями и консультациями задачу не решает: при несовпадении программ одних заданий недостаточно, и завуч вместе с директором ищет иной способ разобщения.</w:t>
      </w:r>
    </w:p>
    <w:p>
      <w:r>
        <w:t>Если перевод действительно невозможен, причину записывают в служебную записку или акт той формы, которая в школе уже принята: какие варианты рассматривали и почему ни один не обеспечивает разобщения. Ссылка на «нет мест» без такой проверки ничего не объясняет. Постоянной комиссии для этого санитарные правила не предусматривают, создавать её специально не нужно.</w:t>
      </w:r>
    </w:p>
    <w:p>
      <w:r>
        <w:t>Родители иногда предлагают расписку о том, что «берут риск на себя». Она не заменяет разобщения, которого требуют санитарные правила. Требовать от семьи срочно привить ребёнка школа тоже не может: решение о прививке родители принимают вместе с медиками. Пункт 2516 возлагает на организацию разъяснительную работу с родителями непривитого ребёнка, и медицинские вопросы в ней лучше адресовать врачу. Подробные пояснения о профилактике полиомиелита опубликованы на сайте территориального управления Роспотребнадзора [6].</w:t>
      </w:r>
    </w:p>
    <w:p>
      <w:pPr>
        <w:pStyle w:val="Heading2"/>
      </w:pPr>
      <w:r>
        <w:t>Ветряная оспа: домашний контакт и случай в группе</w:t>
      </w:r>
    </w:p>
    <w:p>
      <w:r>
        <w:t>Под название «отстранение непривитых» ветряная оспа подходит хуже всего. Санитарные правила описывают для неё две разные ситуации, и ни в одной нет общего правила отправить домой всех непривитых детей.</w:t>
      </w:r>
    </w:p>
    <w:p>
      <w:r>
        <w:t>Первая — домашний очаг. Если, условно, ветрянкой заболел старший брат, врач по пункту 2845 сообщает детскому саду о контактных детях до 7 лет, которые посещают дошкольную организацию, не болели ветряной оспой, не привиты или не завершили курс вакцинации. Их разобщают на 21 календарный день с последнего общения с заболевшим. Если дата контакта установлена точно, ребёнок ходит в сад первые 10 календарных дней от начала контакта, а с 11-го по 21-й день остаётся дома. Тот же пункт прямо говорит, что дети старше 7 лет и ранее переболевшие разобщению не подлежат, так что школьника 8, 12 или 16 лет из-за болезни брата дома не держат. С шестилетним первоклассником ясности меньше: пункт описывает детей, которые посещают дошкольную организацию. При пограничном возрасте или неизвестной дате контакта решение уточняют у профильного врача. Отдельного шаблона для этого сценария в комплекте нет: дошкольное подразделение действует по сведениям врача о конкретном ребёнке и направляет семье персональное уведомление с датами. Назначать домашнюю изоляцию по сообщению в чате школа не должна.</w:t>
      </w:r>
    </w:p>
    <w:p>
      <w:r>
        <w:t>Вторая — случай в группе. Медицинский персонал ежедневно осматривает детей, контактировавших с заболевшим, и фиксирует результаты в медицинской документации (пункт 2848). За контактными, которые не болели, не привиты или не завершили курс, устанавливают медицинское наблюдение на 21 календарный день с изоляции последнего заболевшего (пункт 2840); за переболевшими и получившими завершённый курс при документальном подтверждении наблюдение не проводят (пункт 2841). Пункт 2850 на те же 21 день вводит ограничения для группы: в неё не принимают новых и временно отсутствовавших детей, не болевших ветряной оспой и не привитых; дети группы не участвуют в массовых мероприятиях, их не переводят в другие группы [7]. Дети, которые продолжали ходить в группу, дома по этому пункту не остаются. Перевести такого ребёнка в другую группу, как при полиомиелите, тоже нельзя: норма это прямо запрещает.</w:t>
      </w:r>
    </w:p>
    <w:p>
      <w:r>
        <w:t>Пункт 2851 раскрывает, что стоит за словами «усилить дезинфекцию», и эту конкретику переносят в приказ: влажная уборка дважды в день с моющими и (или) дезинфицирующими средствами; мягкие игрушки убирают из обихода, остальные ежедневно в конце дня моют горячей водой с моющим средством; воздух обеззараживают ультрафиолетом или другими разрешёнными способами; помещения проветривают не реже четырёх раз в день по 8–10 минут. Оборудование для обеззараживания воздуха включают строго по инструкции к нему, в том числе по её требованиям к присутствию людей в помещении.</w:t>
      </w:r>
    </w:p>
    <w:p>
      <w:r>
        <w:t>С возрастом сложнее. Пункт 2850 называет организации, осуществляющие образовательную деятельность, и организации с круглосуточным пребыванием детей до 7 лет, и из текста не вполне ясно, к чему относится возрастное уточнение. В ответе на обращение Роспотребнадзор описывает это правило применительно к детям до 7 лет [8]. Поэтому шаблон в комплекте рассчитан на группу дошкольного подразделения с детьми до 7 лет. Если ветряная оспа выявлена в школьном классе, какие меры применять, стоит уточнить у территориального отдела Роспотребнадзора по конкретному очагу. Это осторожность при подготовке шаблона; считать её бесспорным исключением школьников из пункта 2850 нельзя, и полученное предписание школа выполняет.</w:t>
      </w:r>
    </w:p>
    <w:p>
      <w:r>
        <w:t>Справка нужна тому, кто переболел. По пунктам 2835–2836 переболевшего ребёнка допускают в коллектив после клинического выздоровления, не ранее шестого дня с появления последнего свежего элемента сыпи, при наличии справки лечащего врача или фельдшера. Здоровому контактному ребёнку по этим пунктам справка не нужна. Выздоровление определяет врач; воспитатель не делает выводов по фотографии в мессенджере.</w:t>
      </w:r>
    </w:p>
    <w:p>
      <w:pPr>
        <w:pStyle w:val="Heading2"/>
      </w:pPr>
      <w:r>
        <w:t>Пока ребёнок не ходит на занятия, обучение продолжается</w:t>
      </w:r>
    </w:p>
    <w:p>
      <w:r>
        <w:t>Временный недопуск не прекращает образовательных отношений. Школа обязана реализовать образовательную программу и создавать безопасные условия обучения (часть 6 статьи 28 Федерального закона от 29.12.2012 № 273-ФЗ), а охрана здоровья обучающихся входит в её задачи по статье 41. Ребёнка не отчисляют, пропуски из-за санитарных мер не учитывают как прогул. Переводить его на семейное образование или называть это обучением на дому не нужно: для обучения на дому по медицинским показаниям часть 5 статьи 41 предусматривает собственные основания.</w:t>
      </w:r>
    </w:p>
    <w:p>
      <w:r>
        <w:t>Задания, выложенные в общий чат, ещё не помощь. Завучу стоит в первые дни договориться с учителями о простых вещах: как ребёнок получит объяснение новых тем, куда и когда сдавать работы, кто и в какой срок ответит на вопросы и проверит задания, когда будут консультации, как сдвинутся контрольные. Если в школе применяют электронное обучение и дистанционные технологии, ими пользуются в уже установленном порядке; обещать трансляцию каждого урока не нужно. План сверяют с возможностями семьи: у одного ребёнка свой ноутбук, у другого один телефон на всех детей в семье. В детском саду речь идёт о материалах и консультациях по образовательной программе дошкольного образования.</w:t>
      </w:r>
    </w:p>
    <w:p>
      <w:pPr>
        <w:pStyle w:val="Heading2"/>
      </w:pPr>
      <w:r>
        <w:t>Что записать в приказ и как сообщить семье</w:t>
      </w:r>
    </w:p>
    <w:p>
      <w:r>
        <w:t>В приказе о недопуске должно быть понятно, на какой документ школа опирается, кого касается мера, с какой даты и до какой она действует и от какого события считается срок, что произойдёт при новом случае или новых медицинских сведениях, кто организует обучение и кто следит за окончанием срока. Детей можно перечислить в закрытом приложении — фамилия, класс, период — или издать индивидуальный приказ. Диагнозы, сведения о заболевшем и прививочные анкеты в приказ не переносят.</w:t>
      </w:r>
    </w:p>
    <w:p>
      <w:r>
        <w:t>Семье сообщают лично: основание, даты, план обучения и контакт сотрудника, который отвечает на вопросы. Список «непривитых» в общем чате или на сайте раскрывает медицинские сведения о детях. Учителя получают только то, что нужно для работы: кто временно не ходит или занимается в другом классе и до какой даты.</w:t>
      </w:r>
    </w:p>
    <w:p>
      <w:r>
        <w:t>Дату окончания записывают в самом приказе. Тогда ограничение заканчивается в эту дату, если не появилось новых подтверждённых оснований его продолжать, и ребёнок не сидит дома лишние дни, пока кто-то готовит приказ о допуске. Если же о новом случае школе уже известно, она не ждёт подписанного изменения: меры уточняют сразу, семью предупреждают лично, приказ меняют как можно скорее, а отсутствие отдельного приказа о допуске ограничение не продлевает. Справку или заключение врача для возвращения школа требует, только если это предусмотрено применимой нормой, например после перенесённой болезни; здоровым контактным детям общую справку не вводят, а семье объясняют, на каком основании её просят. За несколько дней до окончания ответственный уточняет у медицинской организации, не было ли новых случаев. Сроки, которые школа ставит своим сотрудникам, например «уведомить семьи в течение дня», — её внутреннее решение, и выдавать их за требование закона не нужно.</w:t>
      </w:r>
    </w:p>
    <w:p>
      <w:pPr>
        <w:pStyle w:val="Heading2"/>
      </w:pPr>
      <w:r>
        <w:t>Источники</w:t>
      </w:r>
    </w:p>
    <w:p>
      <w:r>
        <w:t xml:space="preserve">1. Федеральный закон от 17.09.1998 № 157-ФЗ «Об иммунопрофилактике инфекционных болезней», статья 5: </w:t>
      </w:r>
      <w:hyperlink r:id="rId10">
        <w:r>
          <w:rPr>
            <w:color w:val="174B72"/>
          </w:rPr>
          <w:t>Закон № 157-ФЗ, статья 5, в КонсультантПлюс</w:t>
        </w:r>
      </w:hyperlink>
    </w:p>
    <w:p>
      <w:r>
        <w:t xml:space="preserve">2. СанПиН 3.3686-21 «Санитарно-эпидемиологические требования по профилактике инфекционных болезней», утверждены постановлением Главного государственного санитарного врача РФ от 28.01.2021 № 4 (зарегистрировано Минюстом России 15.02.2021, № 62500), пункты 2512–2516, 2742–2743, 2750–2751, 2835–2851. Первоначальная официальная публикация: </w:t>
      </w:r>
      <w:hyperlink r:id="rId11">
        <w:r>
          <w:rPr>
            <w:color w:val="174B72"/>
          </w:rPr>
          <w:t>официальный интернет-портал правовой информации</w:t>
        </w:r>
      </w:hyperlink>
      <w:r>
        <w:t xml:space="preserve"> . Консолидированный текст в редакции от 25.06.2025: </w:t>
      </w:r>
      <w:hyperlink r:id="rId12">
        <w:r>
          <w:rPr>
            <w:color w:val="174B72"/>
          </w:rPr>
          <w:t>СанПиН 3.3686-21 в редакции от 25.06.2025 (PDF)</w:t>
        </w:r>
      </w:hyperlink>
      <w:r>
        <w:t xml:space="preserve"> . Санитарные правила действуют до 01.09.2027. Проект изменений от 02.03.2026 действующей нормой не является и в материале не учитывался.</w:t>
      </w:r>
    </w:p>
    <w:p>
      <w:r>
        <w:t xml:space="preserve">3. Федеральный закон от 30.03.1999 № 52-ФЗ «О санитарно-эпидемиологическом благополучии населения», статья 31: </w:t>
      </w:r>
      <w:hyperlink r:id="rId13">
        <w:r>
          <w:rPr>
            <w:color w:val="174B72"/>
          </w:rPr>
          <w:t>Закон № 52-ФЗ, статья 31, в КонсультантПлюс</w:t>
        </w:r>
      </w:hyperlink>
    </w:p>
    <w:p>
      <w:r>
        <w:t xml:space="preserve">4. Федеральный закон от 29.12.2012 № 273-ФЗ «Об образовании в Российской Федерации», статья 28: </w:t>
      </w:r>
      <w:hyperlink r:id="rId14">
        <w:r>
          <w:rPr>
            <w:color w:val="174B72"/>
          </w:rPr>
          <w:t>Закон № 273-ФЗ, статья 28, в КонсультантПлюс</w:t>
        </w:r>
      </w:hyperlink>
      <w:r>
        <w:t xml:space="preserve"> ; статья 41: </w:t>
      </w:r>
      <w:hyperlink r:id="rId15">
        <w:r>
          <w:rPr>
            <w:color w:val="174B72"/>
          </w:rPr>
          <w:t>Закон № 273-ФЗ, статья 41, в КонсультантПлюс</w:t>
        </w:r>
      </w:hyperlink>
    </w:p>
    <w:p>
      <w:r>
        <w:t xml:space="preserve">5. Письмо Роспотребнадзора от 05.07.2024 № 09-9087-2024-40 (разъяснение, не нормативный правовой акт): </w:t>
      </w:r>
      <w:hyperlink r:id="rId16">
        <w:r>
          <w:rPr>
            <w:color w:val="174B72"/>
          </w:rPr>
          <w:t>текст письма в системе «Гарант»</w:t>
        </w:r>
      </w:hyperlink>
      <w:r>
        <w:t xml:space="preserve"> ; копия: </w:t>
      </w:r>
      <w:hyperlink r:id="rId17">
        <w:r>
          <w:rPr>
            <w:color w:val="174B72"/>
          </w:rPr>
          <w:t>копия письма (PDF)</w:t>
        </w:r>
      </w:hyperlink>
    </w:p>
    <w:p>
      <w:r>
        <w:t xml:space="preserve">6. Управление Роспотребнадзора по Карачаево-Черкесской Республике. Профилактика полиомиелита, острых вялых параличей: </w:t>
      </w:r>
      <w:hyperlink r:id="rId18">
        <w:r>
          <w:rPr>
            <w:color w:val="174B72"/>
          </w:rPr>
          <w:t>страница о профилактике полиомиелита на сайте управления Роспотребнадзора</w:t>
        </w:r>
      </w:hyperlink>
    </w:p>
    <w:p>
      <w:r>
        <w:t xml:space="preserve">7. Роспотребнадзор. Ответ на обращение о мерах при ветряной оспе: </w:t>
      </w:r>
      <w:hyperlink r:id="rId19">
        <w:r>
          <w:rPr>
            <w:color w:val="174B72"/>
          </w:rPr>
          <w:t>ответ на обращение о мерах при ветряной оспе</w:t>
        </w:r>
      </w:hyperlink>
    </w:p>
    <w:p>
      <w:r>
        <w:t xml:space="preserve">8. Роспотребнадзор. Ответ на обращение «Карантин по ветряной оспе» (ответ по конкретному обращению): </w:t>
      </w:r>
      <w:hyperlink r:id="rId20">
        <w:r>
          <w:rPr>
            <w:color w:val="174B72"/>
          </w:rPr>
          <w:t>ответ на обращение «Карантин по ветряной оспе»</w:t>
        </w:r>
      </w:hyperlink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  <w:ind w:firstLine="0"/>
      <w:jc w:val="both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ind w:firstLine="0"/>
      <w:contextualSpacing/>
      <w:jc w:val="left"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www.consultant.ru/document/cons_doc_LAW_20315/dbd366e6b73b89cee917037eaf4c082dc7907f6a/" TargetMode="External"/><Relationship Id="rId11" Type="http://schemas.openxmlformats.org/officeDocument/2006/relationships/hyperlink" Target="http://publication.pravo.gov.ru/Document/View/0001202102180019" TargetMode="External"/><Relationship Id="rId12" Type="http://schemas.openxmlformats.org/officeDocument/2006/relationships/hyperlink" Target="https://www.mos.ru/upload/documents/files/9739/PostanovlenieGlavnogogosydarstvennogosanitarnogovrachaRF.pdf" TargetMode="External"/><Relationship Id="rId13" Type="http://schemas.openxmlformats.org/officeDocument/2006/relationships/hyperlink" Target="https://www.consultant.ru/document/cons_doc_LAW_22481/40310b846fcbcbc143f7d94d386b3546f00ba6e4/" TargetMode="External"/><Relationship Id="rId14" Type="http://schemas.openxmlformats.org/officeDocument/2006/relationships/hyperlink" Target="https://www.consultant.ru/document/cons_doc_LAW_140174/552097cad5942f36c9484dbde7ebf92db1f783f3/" TargetMode="External"/><Relationship Id="rId15" Type="http://schemas.openxmlformats.org/officeDocument/2006/relationships/hyperlink" Target="https://www.consultant.ru/document/cons_doc_LAW_140174/48b9101fff215f3aeb122d86593a129a34d96d3c/" TargetMode="External"/><Relationship Id="rId16" Type="http://schemas.openxmlformats.org/officeDocument/2006/relationships/hyperlink" Target="https://www.garant.ru/products/ipo/prime/doc/410304981/" TargetMode="External"/><Relationship Id="rId17" Type="http://schemas.openxmlformats.org/officeDocument/2006/relationships/hyperlink" Target="https://ouzs.ru/upload/iblock/d45/c3hnijbf5sui4zo7cvgrppuut1y5m8xz.pdf" TargetMode="External"/><Relationship Id="rId18" Type="http://schemas.openxmlformats.org/officeDocument/2006/relationships/hyperlink" Target="https://09.rospotrebnadzor.ru/content/profilaktika-poliomielita-ostryh-vyalyh-paralichey" TargetMode="External"/><Relationship Id="rId19" Type="http://schemas.openxmlformats.org/officeDocument/2006/relationships/hyperlink" Target="https://zpp.rospotrebnadzor.ru/Forum/Appeals/Details/59505" TargetMode="External"/><Relationship Id="rId20" Type="http://schemas.openxmlformats.org/officeDocument/2006/relationships/hyperlink" Target="https://zpp.rospotrebnadzor.ru/Forum/Appeals/Details/34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