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Как пользоваться комплектом</w:t>
      </w:r>
    </w:p>
    <w:p>
      <w:r>
        <w:rPr>
          <w:b w:val="0"/>
          <w:i w:val="0"/>
        </w:rPr>
        <w:t>Состояние источников на 26.10.2026. Все документы комплекта — шаблоны для адаптации, а не утверждённые акты конкретной школы. Пока поля не заполнены и не пройдена процедура, предусмотренная уставом, они силы не имеют.</w:t>
      </w:r>
    </w:p>
    <w:p>
      <w:r>
        <w:rPr>
          <w:b w:val="0"/>
          <w:i w:val="0"/>
        </w:rPr>
      </w:r>
      <w:r>
        <w:rPr>
          <w:b/>
          <w:i w:val="0"/>
        </w:rPr>
        <w:t>1. Сначала сверка с регионом.</w:t>
      </w:r>
      <w:r>
        <w:rPr>
          <w:b w:val="0"/>
          <w:i w:val="0"/>
        </w:rPr>
        <w:t xml:space="preserve"> До выбора образца выясните в управлении образования: где проводят сочинение (в школе или в месте, определённом региональным органом); кто формирует комиссии (школа приказом или регион, которому школа передаёт кандидатуры: пп. 2.2.4.4–2.2.4.6 методических рекомендаций 2025/26 допускают и иную схему); проверяют ли работы в школе или централизованно; региональные сроки передачи сведений, график, формы и порядок хранения; есть ли решение об электронной подаче заявлений (п. 21, подп. 3 Порядка). Если комиссии формирует регион, образцы придётся перерабатывать: нужен приказ об отборе и направлении кандидатур.</w:t>
      </w:r>
    </w:p>
    <w:p>
      <w:r>
        <w:rPr>
          <w:b w:val="0"/>
          <w:i w:val="0"/>
        </w:rPr>
      </w:r>
      <w:r>
        <w:rPr>
          <w:b/>
          <w:i w:val="0"/>
        </w:rPr>
        <w:t>2. Какой приказ выбрать.</w:t>
      </w:r>
      <w:r>
        <w:rPr>
          <w:b w:val="0"/>
          <w:i w:val="0"/>
        </w:rPr>
        <w:t xml:space="preserve"> В комплекте два альтернативных образца: с двумя комиссиями (проведение и проверка) и с единой. Подписывайте один, не оба; второй в пакет документов школы не включайте. Единую комиссию выбирают, если так решили школа и (или) региональный орган (п. 25 Порядка).</w:t>
      </w:r>
    </w:p>
    <w:p>
      <w:r>
        <w:rPr>
          <w:b w:val="0"/>
          <w:i w:val="0"/>
        </w:rPr>
      </w:r>
      <w:r>
        <w:rPr>
          <w:b/>
          <w:i w:val="0"/>
        </w:rPr>
        <w:t>3. Если проверка централизована.</w:t>
      </w:r>
      <w:r>
        <w:rPr>
          <w:b w:val="0"/>
          <w:i w:val="0"/>
        </w:rPr>
        <w:t xml:space="preserve"> Школа не создаёт параллельную обязательную проверку. Используйте раздельный вариант, единый для этого не подходит: пришлось бы менять название комиссии в заголовках и ссылках. В раздельном варианте уберите: в п. 2 — слова о комиссии по проверке; в п. 3 — председателя комиссии по проверке и два последних предложения об экспертах; в п. 10 — первое предложение об организации проверки; раздел 2 приложения 1. Затем перенумеруйте пункты и поправьте ссылки на приложение 1.</w:t>
      </w:r>
    </w:p>
    <w:p>
      <w:r>
        <w:rPr>
          <w:b w:val="0"/>
          <w:i w:val="0"/>
        </w:rPr>
      </w:r>
      <w:r>
        <w:rPr>
          <w:b/>
          <w:i w:val="0"/>
        </w:rPr>
        <w:t>4. Приложение 2.</w:t>
      </w:r>
      <w:r>
        <w:rPr>
          <w:b w:val="0"/>
          <w:i w:val="0"/>
        </w:rPr>
        <w:t xml:space="preserve"> Если нужны замены уроков и кабинетов, прикрепите бланк (отдельный файл, лист А4 альбомной ориентации) и заполните его. Подписывайте приказ с приложением 2 только после того, как совместимость с расписанием проверена; если проверка выявила несоответствие (мала вместимость, нет нужного оборудования, не соблюдена безопасность), сначала измените переносы и повторите проверку. Если переносить уроки не нужно, удалите п. 8 и приложение 2, перенумеруйте пункты.</w:t>
      </w:r>
    </w:p>
    <w:p>
      <w:r>
        <w:rPr>
          <w:b w:val="0"/>
          <w:i w:val="0"/>
        </w:rPr>
      </w:r>
      <w:r>
        <w:rPr>
          <w:b/>
          <w:i w:val="0"/>
        </w:rPr>
        <w:t>5. Заявления.</w:t>
      </w:r>
      <w:r>
        <w:rPr>
          <w:b w:val="0"/>
          <w:i w:val="0"/>
        </w:rPr>
        <w:t xml:space="preserve"> Если региональный орган принял решение об электронной подаче заявлений, впишите реквизиты решения и способ в п. 5; если решения нет, удалите предложение об электронной подаче. Школьная дата сбора заявлений раньше 18.11.2026 допустима как внутреннее напоминание, но не называйте её сроком подачи: в приказе и объявлениях срок — 18.11.2026 включительно.</w:t>
      </w:r>
    </w:p>
    <w:p>
      <w:r>
        <w:rPr>
          <w:b w:val="0"/>
          <w:i w:val="0"/>
        </w:rPr>
      </w:r>
      <w:r>
        <w:rPr>
          <w:b/>
          <w:i w:val="0"/>
        </w:rPr>
        <w:t>6. Поля и сроки.</w:t>
      </w:r>
      <w:r>
        <w:rPr>
          <w:b w:val="0"/>
          <w:i w:val="0"/>
        </w:rPr>
        <w:t xml:space="preserve"> Вписывайте все поля в квадратных скобках: в преамбуле, во всех пунктах приказа и в приложениях. Время начала и входа, сроки передачи сведений, получения и передачи материалов, проверки и результатов берите из региональных документов. Сроки внутренних подготовительных задач (пп. 4–8, 11 и 13, а также даты уведомления и ознакомления в п. 5) школа назначает сама, учитывая федеральные и региональные сроки. Федеральные даты по Порядку: 02.12.2026 (проведение) и 18.11.2026 включительно (подача заявлений). Составы и сроки, названные в рекомендациях 2025/26, — методический ориентир, а не федеральная норма на 2026/27: не менее трёх человек в комиссии (п. 2.2.4.1) и не менее двух организаторов в кабинете (п. 4.2.3). Сверяйте их с региональным порядком и новым письмом; строки в приложении 1 добавляйте или удаляйте по числу аудиторий.</w:t>
      </w:r>
    </w:p>
    <w:p>
      <w:r>
        <w:rPr>
          <w:b w:val="0"/>
          <w:i w:val="0"/>
        </w:rPr>
      </w:r>
      <w:r>
        <w:rPr>
          <w:b/>
          <w:i w:val="0"/>
        </w:rPr>
        <w:t>7. Председатели и медицинский работник.</w:t>
      </w:r>
      <w:r>
        <w:rPr>
          <w:b w:val="0"/>
          <w:i w:val="0"/>
        </w:rPr>
        <w:t xml:space="preserve"> В приказе нужно назначить председателя (координатора), вписав в поле его фамилию, иначе поручение об организации проверки некому исполнять; он может быть одним из членов комиссии, тогда его совмещаемая функция вписывается в таблицу. В раздельном варианте председатель комиссии по проверке сам должен соответствовать требованиям к экспертам. К проведению привлекаются, в частности, медицинские работники (п. 4.1.1 рекомендаций), а ассистенты — при необходимости для участников с ОВЗ, детей-инвалидов и инвалидов. Организацию медицинского обеспечения определяет региональная схема. Приказом школы нельзя обязать работника другой организации, поэтому школьному ответственному поручено согласовать участие.</w:t>
      </w:r>
    </w:p>
    <w:p>
      <w:r>
        <w:rPr>
          <w:b w:val="0"/>
          <w:i w:val="0"/>
        </w:rPr>
      </w:r>
      <w:r>
        <w:rPr>
          <w:b/>
          <w:i w:val="0"/>
        </w:rPr>
        <w:t>8. Как найти квалифицированных экспертов.</w:t>
      </w:r>
      <w:r>
        <w:rPr>
          <w:b w:val="0"/>
          <w:i w:val="0"/>
        </w:rPr>
        <w:t xml:space="preserve"> Сначала подберите их среди работников школы по требованиям к экспертам (п. 2.2.4.3). Рекомендация не привлекать учителей, обучающих участников (п. 2.2.4.1), — именно рекомендация, но региональный порядок может быть строже; сверьте его. Если экспертов не хватает, обратитесь в муниципальный орган управления образованием или региональный орган и в соседние школы. Эксперты, не работающие в школе, участвуют с их согласия; условия, возмездные или безвозмездные, оговариваются отдельно, а до подписания приказа должны быть согласованы. Близкие родственники участников не могут быть такими независимыми экспертами; общие требования о конфликте интересов проверяйте по региональному порядку.</w:t>
      </w:r>
    </w:p>
    <w:p>
      <w:r>
        <w:rPr>
          <w:b w:val="0"/>
          <w:i w:val="0"/>
        </w:rPr>
      </w:r>
      <w:r>
        <w:rPr>
          <w:b/>
          <w:i w:val="0"/>
        </w:rPr>
        <w:t>9. Методический PDF.</w:t>
      </w:r>
      <w:r>
        <w:rPr>
          <w:b w:val="0"/>
          <w:i w:val="0"/>
        </w:rPr>
        <w:t xml:space="preserve"> Организационный документ ФИПИ на 26.10.2026 относится к 2025/26 году (письмо от 24.10.2025 № 04-363). Организационные ориентиры комплекта взяты из него. Перед изданием приказа сверьте новое письмо на 2026/27 и актуальный региональный порядок. Это не повод останавливать подготовку.</w:t>
      </w:r>
    </w:p>
    <w:p>
      <w:r>
        <w:rPr>
          <w:b w:val="0"/>
          <w:i w:val="0"/>
        </w:rPr>
      </w:r>
      <w:r>
        <w:rPr>
          <w:b/>
          <w:i w:val="0"/>
        </w:rPr>
        <w:t>10. Оформление и трудовые условия.</w:t>
      </w:r>
      <w:r>
        <w:rPr>
          <w:b w:val="0"/>
          <w:i w:val="0"/>
        </w:rPr>
        <w:t xml:space="preserve"> Оформляйте приказ по принятому в школе порядку делопроизводства и шаблону. Для справки: ГОСТ Р 7.0.97-2025 введён приказом Росстандарта от 26.06.2025 № 622-ст и действует с 18.08.2025 (</w:t>
      </w:r>
      <w:hyperlink r:id="rId10">
        <w:r>
          <w:rPr>
            <w:color w:val="28577A"/>
            <w:u w:val="single"/>
          </w:rPr>
          <w:t>официальная карточка</w:t>
        </w:r>
      </w:hyperlink>
      <w:r>
        <w:rPr>
          <w:b w:val="0"/>
          <w:i w:val="0"/>
        </w:rPr>
        <w:t>); применимость к вашей школе определяйте по её порядку делопроизводства. Назначение в комиссию не отменяет трудовых условий: нагрузку распределяйте в рамках обязанностей, дополнительную работу оформляйте по трудовому законодательству.</w:t>
      </w:r>
    </w:p>
    <w:p>
      <w:r>
        <w:rPr>
          <w:b w:val="0"/>
          <w:i w:val="0"/>
        </w:rPr>
      </w:r>
      <w:r>
        <w:rPr>
          <w:b/>
          <w:i w:val="0"/>
        </w:rPr>
        <w:t>11. Что комплект не заменяет.</w:t>
      </w:r>
      <w:r>
        <w:rPr>
          <w:b w:val="0"/>
          <w:i w:val="0"/>
        </w:rPr>
        <w:t xml:space="preserve"> Региональные акты, формы серии ИС, порядок передачи и хранения материалов определяет регион. Рабочий лист завуча необязателен и не заменяет региональных форм.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A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172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protect.gost.ru/gost/details/360994e3-9a70-47b9-ab3a-cf21809e26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06. Как использовать образцы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