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</w:rPr>
      </w:r>
      <w:r>
        <w:rPr>
          <w:b/>
          <w:i w:val="0"/>
        </w:rPr>
        <w:t>Рабочий лист завуча: готовность к итоговому сочинению (изложению) 2 декабря 2026 года</w:t>
      </w:r>
      <w:r>
        <w:rPr>
          <w:b w:val="0"/>
          <w:i w:val="0"/>
        </w:rPr>
      </w:r>
    </w:p>
    <w:p>
      <w:r>
        <w:rPr>
          <w:b w:val="0"/>
          <w:i w:val="0"/>
        </w:rPr>
        <w:t>Добровольный рабочий лист для внутренней сверки. Директор его не утверждает, обязательной отчётности он не вводит и региональные формы не заменяет. Персональные данные и диагнозы участников в нём не указываются, только условия, которые нужно обеспечить.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7257"/>
        <w:gridCol w:w="2154"/>
        <w:gridCol w:w="2041"/>
        <w:gridCol w:w="2268"/>
      </w:tblGrid>
      <w:tr>
        <w:trPr>
          <w:cantSplit/>
          <w:tblHeader/>
        </w:trPr>
        <w:tc>
          <w:tcPr>
            <w:tcW w:type="dxa" w:w="567"/>
            <w:shd w:fill="E8EEF2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type="dxa" w:w="7257"/>
            <w:shd w:fill="E8EEF2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Что проверить</w:t>
            </w:r>
          </w:p>
        </w:tc>
        <w:tc>
          <w:tcPr>
            <w:tcW w:type="dxa" w:w="2154"/>
            <w:shd w:fill="E8EEF2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Ответственный</w:t>
            </w:r>
          </w:p>
        </w:tc>
        <w:tc>
          <w:tcPr>
            <w:tcW w:type="dxa" w:w="2041"/>
            <w:shd w:fill="E8EEF2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Когда устранить</w:t>
            </w:r>
          </w:p>
        </w:tc>
        <w:tc>
          <w:tcPr>
            <w:tcW w:type="dxa" w:w="2268"/>
            <w:shd w:fill="E8EEF2"/>
          </w:tcPr>
          <w:p>
            <w:pPr>
              <w:spacing w:after="100" w:before="100" w:line="240" w:lineRule="auto"/>
            </w:pPr>
            <w:r>
              <w:rPr>
                <w:b/>
                <w:sz w:val="22"/>
              </w:rPr>
              <w:t>Статус (готово / нужно решение / не применимо)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1</w:t>
            </w:r>
          </w:p>
        </w:tc>
        <w:tc>
          <w:tcPr>
            <w:tcW w:type="dxa" w:w="725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Получен региональный порядок: где проводят, кто формирует комиссии (школа приказом или регион по переданным кандидатурам), где и кто проверяет, сроки передачи сведений, решение об электронной подаче заявлений; проверено, вышло ли методическое письмо на 2026/27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2</w:t>
            </w:r>
          </w:p>
        </w:tc>
        <w:tc>
          <w:tcPr>
            <w:tcW w:type="dxa" w:w="725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Выбран вариант: две комиссии или единая; он соответствует региональной схеме, при централизованной проверке взят раздельный вариант без проверочных пунктов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3</w:t>
            </w:r>
          </w:p>
        </w:tc>
        <w:tc>
          <w:tcPr>
            <w:tcW w:type="dxa" w:w="725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Назначены председатель (председатели) комиссий; состав по проведению закрывает роли: организаторы в каждой аудитории (ориентир методрекомендаций 2025/26 — не менее двух), технический специалист, дежурный вне кабинетов, ответственный за получение и передачу материалов, если он нужен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4</w:t>
            </w:r>
          </w:p>
        </w:tc>
        <w:tc>
          <w:tcPr>
            <w:tcW w:type="dxa" w:w="725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Эксперты (в раздельном варианте — все члены комиссии по проверке, включая председателя) соответствуют требованиям; сверены региональные ограничения по учителям, обучающим участников; при нехватке кадров согласованы эксперты, не работающие в школе, и условия их участия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5</w:t>
            </w:r>
          </w:p>
        </w:tc>
        <w:tc>
          <w:tcPr>
            <w:tcW w:type="dxa" w:w="725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Заявления принимаются до 18.11.2026 включительно: назначен принимающий, известны место и часы, у него есть перечень документов; участникам и родителям сообщён именно этот срок, и они ознакомлены с региональной памяткой в предусмотренном порядке, электронная подача организована, если решение региона есть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6</w:t>
            </w:r>
          </w:p>
        </w:tc>
        <w:tc>
          <w:tcPr>
            <w:tcW w:type="dxa" w:w="725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По документам определено, каким участникам нужны специальные условия, ассистенты и технические средства; доступ к документам ограничен уполномоченными работниками, в общих таблицах нет диагнозов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7</w:t>
            </w:r>
          </w:p>
        </w:tc>
        <w:tc>
          <w:tcPr>
            <w:tcW w:type="dxa" w:w="725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По региональной схеме медицинского обеспечения согласовано участие медицинского работника: назначен школьный ответственный, известны время и место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8</w:t>
            </w:r>
          </w:p>
        </w:tc>
        <w:tc>
          <w:tcPr>
            <w:tcW w:type="dxa" w:w="725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Аудитории определены, для участников изложения с чтением текста 40 минут предусмотрен отдельный кабинет; замены уроков проверены на совместимость с расписанием, вместимостью и оборудованием, педагоги, классы и родители уведомлены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9</w:t>
            </w:r>
          </w:p>
        </w:tc>
        <w:tc>
          <w:tcPr>
            <w:tcW w:type="dxa" w:w="725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Помещение для получения тем и работы с материалами оборудовано (связь, компьютер с интернетом, принтер, сканирование); принтер проверен на пробных листах; есть резервный вариант; известен региональный порядок получения резервных комплектов бланков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</w:tr>
      <w:tr>
        <w:trPr>
          <w:cantSplit/>
        </w:trPr>
        <w:tc>
          <w:tcPr>
            <w:tcW w:type="dxa" w:w="56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10</w:t>
            </w:r>
          </w:p>
        </w:tc>
        <w:tc>
          <w:tcPr>
            <w:tcW w:type="dxa" w:w="7257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Известны региональные порядок получения, хранения и передачи материалов, график проверки и объявления результатов; дополнительная работа сотрудников оформлена по трудовому законодательству</w:t>
            </w:r>
          </w:p>
        </w:tc>
        <w:tc>
          <w:tcPr>
            <w:tcW w:type="dxa" w:w="2154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041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  <w:tc>
          <w:tcPr>
            <w:tcW w:type="dxa" w:w="2268"/>
          </w:tcPr>
          <w:p>
            <w:pPr>
              <w:spacing w:after="100" w:before="100" w:line="240" w:lineRule="auto"/>
            </w:pPr>
            <w:r>
              <w:rPr>
                <w:b w:val="0"/>
                <w:sz w:val="22"/>
              </w:rPr>
              <w:t>[ ]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6838" w:h="11906"/>
      <w:pgMar w:top="1134" w:right="850" w:bottom="1134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72A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172A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17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172A3A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05. Лист проверки готовности</dc:title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