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Итоговое сочинение 2 декабря 2026: что сверить, кого назначить и что вписать в приказ</w:t>
      </w:r>
    </w:p>
    <w:p>
      <w:r>
        <w:drawing>
          <wp:inline xmlns:a="http://schemas.openxmlformats.org/drawingml/2006/main" xmlns:pic="http://schemas.openxmlformats.org/drawingml/2006/picture">
            <wp:extent cx="5940000" cy="334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ogovoe-sochinenie-20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</w:r>
      <w:r>
        <w:rPr>
          <w:b w:val="0"/>
          <w:i/>
        </w:rPr>
        <w:t>Состояние источников — 26.10.2026.</w:t>
      </w:r>
      <w:r>
        <w:rPr>
          <w:b w:val="0"/>
          <w:i w:val="0"/>
        </w:rPr>
      </w:r>
    </w:p>
    <w:p>
      <w:pPr>
        <w:pStyle w:val="Heading1"/>
      </w:pPr>
      <w:r>
        <w:rPr>
          <w:b w:val="0"/>
          <w:i w:val="0"/>
        </w:rPr>
        <w:t>Сначала схема региона, потом приказ</w:t>
      </w:r>
    </w:p>
    <w:p>
      <w:r>
        <w:rPr>
          <w:b w:val="0"/>
          <w:i w:val="0"/>
        </w:rPr>
        <w:t xml:space="preserve">Итоговое сочинение (изложение) пройдёт 2 декабря 2026 года, и подготовку стоит начинать с вопроса управлению образования: как в регионе устроены проведение и проверка. Федеральный </w:t>
      </w:r>
      <w:hyperlink r:id="rId11">
        <w:r>
          <w:rPr>
            <w:color w:val="28577A"/>
            <w:u w:val="single"/>
          </w:rPr>
          <w:t>Порядок проведения ГИА-11</w:t>
        </w:r>
      </w:hyperlink>
      <w:r>
        <w:rPr>
          <w:b w:val="0"/>
          <w:i w:val="0"/>
        </w:rPr>
        <w:t xml:space="preserve"> (п. 21) оставляет это региональному органу власти: он определяет порядок проведения и порядок проверки, а также места и сроки хранения материалов. Школа по п. 25 создаёт две комиссии, по проведению и по проверке, либо единую, если так решили школа и (или) региональный орган. Выбор между двумя и одной диктуют региональная схема и кадры школы, а не удобство бланка приказа.</w:t>
      </w:r>
    </w:p>
    <w:p>
      <w:r>
        <w:rPr>
          <w:b w:val="0"/>
          <w:i w:val="0"/>
        </w:rPr>
        <w:t>Выяснить нужно три вещи. Первая: проверяют ли работы в школе или централизованно. Во втором случае школа не создаёт параллельную обязательную проверку, поэтому берут раздельный вариант приказа и убирают из него проверочные пункты (как именно, написано в инструкции «Как пользоваться комплектом»). Вторая: пишут ли сочинение в самой школе или в месте, которое определил региональный орган; от этого зависят перечень людей и сроки передачи сведений. Третья: кто формирует комиссии. По рекомендациям 2025/26 (п. 2.2.4.4) в одной схеме школа отбирает и готовит специалистов, а кандидатуры передаёт региональному органу, который и создаёт комиссии. Тогда образец школьного приказа придётся перерабатывать. Всё это лучше выяснить до того, как людей расписали по аудиториям, иначе списки переписывают.</w:t>
      </w:r>
    </w:p>
    <w:p>
      <w:r>
        <w:rPr>
          <w:b w:val="0"/>
          <w:i w:val="0"/>
        </w:rPr>
        <w:t>Порядок утверждён приказом Минпросвещения России и Рособрнадзора от 04.04.2023 № 233/552 в редакции приказа от 12.04.2024 № 243/802 и действует с 1 сентября 2023 года до 1 сентября 2029 года. Поправки 2024 года раздел III о сочинении не меняют.</w:t>
      </w:r>
    </w:p>
    <w:p>
      <w:pPr>
        <w:pStyle w:val="Heading1"/>
      </w:pPr>
      <w:r>
        <w:rPr>
          <w:b w:val="0"/>
          <w:i w:val="0"/>
        </w:rPr>
        <w:t>Даты: 2 декабря, 18 ноября и чего они не означают</w:t>
      </w:r>
    </w:p>
    <w:p>
      <w:r>
        <w:rPr>
          <w:b w:val="0"/>
          <w:i w:val="0"/>
        </w:rPr>
        <w:t>Сочинение пишут в первую среду декабря (п. 22): в 2026 году это 2 декабря. Заявления подаются не позднее чем за две недели (п. 23), то есть последний день — 18 ноября включительно. Это срок подачи заявлений, а не общероссийский срок создания комиссий: Порядок такого срока не называет. Рекомендации 2025/26 (пп. 2.2.4.4–2.2.4.5) связывают те же две недели с приказом о составах комиссий или с передачей кандидатур региональному органу, но п. 2.2.4.6 допускает иную региональную схему. Поэтому 18 ноября разумно держать ориентиром для собственного плана, пока регион не назвал другой срок.</w:t>
      </w:r>
    </w:p>
    <w:p>
      <w:r>
        <w:rPr>
          <w:b w:val="0"/>
          <w:i w:val="0"/>
        </w:rPr>
        <w:t>Региональный срок передачи сведений об участниках и школьное напоминание вроде «приносите заявления до 10 ноября» бывают раньше, но напоминание остаётся напоминанием: выпускник, пришедший 18 ноября, подаёт заявление в срок. Дополнительные даты — 3 февраля и 14 апреля 2027 года — предусмотрены для тех, кому по п. 30 Порядка положено писать позже. Основания в школьных объявлениях лучше не пересказывать по памяти, а отсылать к самому пункту. Допуск к ГИА определяют отдельные нормы с другими условиями; в разговоре с выпускниками не стоит сводить его к одному «зачёту».</w:t>
      </w:r>
    </w:p>
    <w:p>
      <w:pPr>
        <w:pStyle w:val="Heading1"/>
      </w:pPr>
      <w:r>
        <w:rPr>
          <w:b w:val="0"/>
          <w:i w:val="0"/>
        </w:rPr>
        <w:t>Какими методическими материалами пользоваться</w:t>
      </w:r>
    </w:p>
    <w:p>
      <w:r>
        <w:rPr>
          <w:b w:val="0"/>
          <w:i w:val="0"/>
        </w:rPr>
        <w:t xml:space="preserve">На сайте ФИПИ уже открыт </w:t>
      </w:r>
      <w:hyperlink r:id="rId12">
        <w:r>
          <w:rPr>
            <w:color w:val="28577A"/>
            <w:u w:val="single"/>
          </w:rPr>
          <w:t>раздел 2026/27</w:t>
        </w:r>
      </w:hyperlink>
      <w:r>
        <w:rPr>
          <w:b w:val="0"/>
          <w:i w:val="0"/>
        </w:rPr>
        <w:t>: процедура и критерии заявлены неизменными, банк тем пополнен историческими. Но организационный PDF по ссылке на эту дату по-прежнему относится к 2025/26 году (письмо от 24.10.2025 № 04-363). Все организационные ориентиры ниже взяты из него: это подсказка, а не требование на текущий год. Перед изданием приказа проверьте, вышло ли новое письмо, и сверьтесь с региональным порядком. Останавливать подготовку это не повод: людей, кабинеты и технику можно подбирать уже сейчас.</w:t>
      </w:r>
    </w:p>
    <w:p>
      <w:pPr>
        <w:pStyle w:val="Heading1"/>
      </w:pPr>
      <w:r>
        <w:rPr>
          <w:b w:val="0"/>
          <w:i w:val="0"/>
        </w:rPr>
        <w:t>Сколько людей нужно на самом деле</w:t>
      </w:r>
    </w:p>
    <w:p>
      <w:r>
        <w:rPr>
          <w:b w:val="0"/>
          <w:i w:val="0"/>
        </w:rPr>
        <w:t>В рекомендациях 2025/26 (п. 2.2.4.1) комиссии формируются из учителей-предметников и администрации, не менее чем из трёх человек в зависимости от числа участников. Привлекать учителей, которые обучают участников, не рекомендуется — ради объективности. Это рекомендация, но региональный порядок может быть строже, и тогда вопрос решает не усмотрение директора. Сначала сверяют региональные ограничения, а если подходящих людей не хватает, замену согласуют с управлением образования.</w:t>
      </w:r>
    </w:p>
    <w:p>
      <w:r>
        <w:rPr>
          <w:b w:val="0"/>
          <w:i w:val="0"/>
        </w:rPr>
        <w:t>Комиссию по проведению рекомендации описывают через функции (п. 2.2.4.2): члены комиссии, организующие проведение; ответственный за получение бланков и передачу материалов, если их получают и сдают в местах, определённых регионом; технический специалист, который помогает с получением тем, печатью и сканированием; дежурные вне учебных кабинетов. Отдельно (п. 4.2.3) сказано, что в кабинете во время написания находятся не менее двух членов комиссии. Минимум из трёх человек для комиссии не означает, что трёх хватит на две аудитории.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пример.</w:t>
      </w:r>
      <w:r>
        <w:rPr>
          <w:b w:val="0"/>
          <w:i w:val="0"/>
        </w:rPr>
        <w:t xml:space="preserve"> Участников рассадили в две аудитории. Это четыре организатора внутри, дежурный вне кабинетов, технический специалист и, если по региональной схеме материалы получают и сдают в другом месте, ответственный за них: около семи человек, пока роли не совмещены. Председателя комиссии, который отвечает за подготовку, логично совместить с ролью вне кабинетов, но не ценой того, что в аудитории останется меньше двух организаторов. Технический специалист, занятый получением тем и печатью, в кабинете сидеть не может. Это иллюстрация счёта, а не штат для вашей школы: цифру изменят число участников, число аудиторий и региональная схема.</w:t>
      </w:r>
    </w:p>
    <w:p>
      <w:pPr>
        <w:pStyle w:val="Heading1"/>
      </w:pPr>
      <w:r>
        <w:rPr>
          <w:b w:val="0"/>
          <w:i w:val="0"/>
        </w:rPr>
        <w:t>Кто проверяет и как не сделать экспертами всех</w:t>
      </w:r>
    </w:p>
    <w:p>
      <w:r>
        <w:rPr>
          <w:b w:val="0"/>
          <w:i w:val="0"/>
        </w:rPr>
        <w:t>Для комиссии по проверке рекомендации (п. 2.2.4.3) называют требования к экспертам: высшее образование по специальности «Русский язык и литература» с квалификацией учителя русского языка и литературы, опыт проверки сочинений (изложений) в выпускных классах, владение критериями оценивания и нормативной базой. Если комиссия единая, из этого не следует, что каждый её член эксперт: в приложении к приказу прямо отмечают, кто проверяет работы, а кто организует проведение. Квалификацию подтверждают документы и опыт, приказ её не придаёт. Кто отвечает за организацию проверки, тоже называют по фамилии: если в приказе написано «организовать проверку», а исполнителя нет, поручение повисает.</w:t>
      </w:r>
    </w:p>
    <w:p>
      <w:r>
        <w:rPr>
          <w:b w:val="0"/>
          <w:i w:val="0"/>
        </w:rPr>
        <w:t>Независимые эксперты — специалисты, которые не работают в вашей школе, — привлекаются по решению школы и (или) региона, а при нехватке собственных кадров рекомендации предусматривают именно их. Условия участия, на возмездной или безвозмездной основе, оговариваются с самим экспертом. Приказом своей школы нельзя обязать сотрудника другой организации: нужны его согласие и договорённость, при необходимости с региональным органом. Близкие родственники участников независимыми экспертами быть не могут.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пример.</w:t>
      </w:r>
      <w:r>
        <w:rPr>
          <w:b w:val="0"/>
          <w:i w:val="0"/>
        </w:rPr>
        <w:t xml:space="preserve"> В школе три учителя русского языка, и все три преподают в одиннадцатых классах. Рекомендацию не привлекать преподающих получится соблюсти только через независимых экспертов или региональную схему проверки. Вопрос управлению образования лучше задать сейчас, а не за три дня до сочинения: согласование условий требует времени.</w:t>
      </w:r>
    </w:p>
    <w:p>
      <w:pPr>
        <w:pStyle w:val="Heading1"/>
      </w:pPr>
      <w:r>
        <w:rPr>
          <w:b w:val="0"/>
          <w:i w:val="0"/>
        </w:rPr>
        <w:t>Помещения, время и уроки других классов</w:t>
      </w:r>
    </w:p>
    <w:p>
      <w:r>
        <w:rPr>
          <w:b w:val="0"/>
          <w:i w:val="0"/>
        </w:rPr>
        <w:t>По рекомендациям 2025/26 вход участников начинается с 9:00, а сочинение начинается в 10:00 по местному времени (пп. 4.2.3–4.2.4). На работу отведено 3 часа 55 минут (раздел 2 рекомендаций), инструктаж и заполнение регистрационных полей в это время не входят. Поэтому не обещайте, что кабинеты освободятся ровно в 13:55: после окончания идут оформление и сбор материалов, а у некоторых участников особые условия. Фактическое время и время прибытия школа берёт из региональных документов.</w:t>
      </w:r>
    </w:p>
    <w:p>
      <w:r>
        <w:rPr>
          <w:b w:val="0"/>
          <w:i w:val="0"/>
        </w:rPr>
        <w:t>Дальше расписание. Аудитории под сочинение — это уроки, которые нужно куда-то перенести. Замены организует школа, и отменять уроки автоматически не нужно: их можно перенести в свободные кабинеты, сохранив безопасность, вместимость и необходимое оборудование.</w:t>
      </w:r>
    </w:p>
    <w:p>
      <w:r>
        <w:rPr>
          <w:b w:val="0"/>
          <w:i w:val="0"/>
        </w:rPr>
      </w:r>
      <w:r>
        <w:rPr>
          <w:b w:val="0"/>
          <w:i/>
        </w:rPr>
        <w:t>Условный пример, не форма приказа.</w:t>
      </w:r>
      <w:r>
        <w:rPr>
          <w:b w:val="0"/>
          <w:i w:val="0"/>
        </w:rPr>
        <w:t xml:space="preserve"> На время сочинения заняты кабинеты 21 и 23, где по расписанию идут история в 7Б и информатика в 9А. Историю переносят в свободный кабинет 14, вместимость которого проверили. Если информатика в этот день — практическая работа на компьютерах, в обычный класс её не перенести: нужен другой кабинет с компьютерами или перестановка урока. Теоретический урок можно провести и в обычном кабинете. Педагоги, классы и родители узнают о замене заранее, а завуч фиксирует, кто и когда уведомлен; для этого подойдёт бланк приложения 2.</w:t>
      </w:r>
    </w:p>
    <w:p>
      <w:r>
        <w:rPr>
          <w:b w:val="0"/>
          <w:i w:val="0"/>
        </w:rPr>
        <w:t>Участникам изложения, которым текст выдаётся для чтения на 40 минут, нужен отдельный кабинет: смешивать их с теми, кому текст зачитывают, категорически не рекомендуется (п. 4.2.2). Это ещё одна аудитория в расчёте.</w:t>
      </w:r>
    </w:p>
    <w:p>
      <w:pPr>
        <w:pStyle w:val="Heading1"/>
      </w:pPr>
      <w:r>
        <w:rPr>
          <w:b w:val="0"/>
          <w:i w:val="0"/>
        </w:rPr>
        <w:t>Заявления и особые условия без лишних данных</w:t>
      </w:r>
    </w:p>
    <w:p>
      <w:r>
        <w:rPr>
          <w:b w:val="0"/>
          <w:i w:val="0"/>
        </w:rPr>
        <w:t>Заявление подаётся лично при предъявлении документа, удостоверяющего личность, либо родителем (законным представителем) с таким же документом, либо уполномоченным лицом с документом и доверенностью. Если региональный орган принял решение организовать подачу заявлений с использованием информационно-коммуникационных технологий (п. 21, подп. 3), это нужно отразить в школьной информации о приёме. Обучающиеся с ОВЗ предъявляют оригинал или надлежащим образом заверенную копию рекомендаций ПМПК, а дети-инвалиды и инвалиды — справки, подтверждающей инвалидность (п. 23). Порядок говорит именно о предъявлении документов, поэтому в приказе стоит «предъявляют», а не «сдают».</w:t>
      </w:r>
    </w:p>
    <w:p>
      <w:r>
        <w:rPr>
          <w:b w:val="0"/>
          <w:i w:val="0"/>
        </w:rPr>
        <w:t>Выбор изложения и персональные условия, такие как ассистент или технические средства, определяют по документам каждого участника: автоматически одинаковыми они не бывают. К проведению рекомендации привлекают также медицинских работников (п. 4.1.1): присутствие и порядок их участия определяет региональная схема медицинского обеспечения, а не диагноз конкретного участника. Приказом школы нельзя обязать работника медицинской организации, поэтому школьному ответственному поручают согласовать участие, время и место.</w:t>
      </w:r>
    </w:p>
    <w:p>
      <w:r>
        <w:rPr>
          <w:b w:val="0"/>
          <w:i w:val="0"/>
        </w:rPr>
        <w:t>Для организации важно знать, что именно нужно участнику, но не диагноз. В списках для кабинетов, общих таблицах и приложениях к приказу диагнозов и копий медицинских документов быть не должно, а доступ к самим документам нужен только уполномоченным.</w:t>
      </w:r>
    </w:p>
    <w:p>
      <w:pPr>
        <w:pStyle w:val="Heading1"/>
      </w:pPr>
      <w:r>
        <w:rPr>
          <w:b w:val="0"/>
          <w:i w:val="0"/>
        </w:rPr>
        <w:t>Техника, темы и материалы</w:t>
      </w:r>
    </w:p>
    <w:p>
      <w:r>
        <w:rPr>
          <w:b w:val="0"/>
          <w:i w:val="0"/>
        </w:rPr>
        <w:t>Темы предоставляются в день проведения (п. 26), их разглашение до начала недопустимо: не пытайтесь получить темы заранее и не ищите «утечки». По рекомендациям 2025/26 (п. 3.4) комплект тем размещается на портале topic.rustest.ru за 15 минут до начала по местному времени, а при сбое поступает через региональный орган. Для получения тем и работы с материалами нужны помещение с телефонной связью, компьютер с выходом в интернет, принтер и оборудование для сканирования или копирования (п. 3.6).</w:t>
      </w:r>
    </w:p>
    <w:p>
      <w:r>
        <w:rPr>
          <w:b w:val="0"/>
          <w:i w:val="0"/>
        </w:rPr>
        <w:t>Бланки имеют уникальный код работы и печатаются специальным программным обеспечением, поэтому копировать пустые бланки при нехватке запрещено (п. 3.3). Резервные комплекты получают или печатают по региональной технологии, а принтер заранее проверяют на пробных листах. Это запрет на размножение бланков для участников: как копируют и сканируют написанные работы, определяет региональная технология. Резервные компьютер, принтер и канал связи оговаривают в приказе.</w:t>
      </w:r>
    </w:p>
    <w:p>
      <w:pPr>
        <w:pStyle w:val="Heading1"/>
      </w:pPr>
      <w:r>
        <w:rPr>
          <w:b w:val="0"/>
          <w:i w:val="0"/>
        </w:rPr>
        <w:t>Проверка, результаты и что решает регион</w:t>
      </w:r>
    </w:p>
    <w:p>
      <w:r>
        <w:rPr>
          <w:b w:val="0"/>
          <w:i w:val="0"/>
        </w:rPr>
        <w:t>Проверка и обработка вместе должны завершиться не позднее чем через 12 календарных дней после основной даты и февральской и через 8 — после апрельской (п. 29). Это срок для всей цепочки, включая обработку в региональном центре, а не двенадцать дней учителю на проверку одной работы. Когда результаты увидят участники, определяет региональный график: свою дату выпускникам лучше не обещать. Акты, формы серии ИС, порядок передачи и хранения материалов тоже задаёт регион. Рабочий лист завуча к материалу — добровольная помощь, а не отчёт и не замена региональных форм.</w:t>
      </w:r>
    </w:p>
    <w:p>
      <w:pPr>
        <w:pStyle w:val="Heading1"/>
      </w:pPr>
      <w:r>
        <w:rPr>
          <w:b w:val="0"/>
          <w:i w:val="0"/>
        </w:rPr>
        <w:t>Один приказ вместо нескольких</w:t>
      </w:r>
    </w:p>
    <w:p>
      <w:r>
        <w:rPr>
          <w:b w:val="0"/>
          <w:i w:val="0"/>
        </w:rPr>
        <w:t>Всё перечисленное укладывается в один приказ с двумя приложениями: составы комиссий и замены уроков. Образцы подготовлены в двух вариантах, с раздельными комиссиями и с единой; подписывают один, выбирая по региональной схеме. При централизованной проверке берите раздельный вариант. Назначение в комиссию не отменяет трудовых условий: до издания приказа нагрузку распределяют в рамках обязанностей, а дополнительную работу оформляют по закону. Оплату не стоит описывать ни как всегда обязательную, ни как уже входящую в обычную нагрузку. Должностных лиц, которых нет в штате, в приказ не вписывают. Образцы остаются заготовками для адаптации.</w:t>
      </w:r>
    </w:p>
    <w:p>
      <w:pPr>
        <w:pStyle w:val="Heading1"/>
      </w:pPr>
      <w:r>
        <w:rPr>
          <w:b w:val="0"/>
          <w:i w:val="0"/>
        </w:rPr>
        <w:t>Источники</w:t>
      </w:r>
    </w:p>
    <w:p>
      <w:pPr>
        <w:pStyle w:val="ListBullet"/>
      </w:pPr>
      <w:r>
        <w:rPr>
          <w:b w:val="0"/>
          <w:i w:val="0"/>
        </w:rPr>
        <w:t xml:space="preserve">Порядок проведения ГИА-11, разд. III, пп. 20–30: </w:t>
      </w:r>
      <w:hyperlink r:id="rId11">
        <w:r>
          <w:rPr>
            <w:color w:val="28577A"/>
            <w:u w:val="single"/>
          </w:rPr>
          <w:t>оригинал</w:t>
        </w:r>
      </w:hyperlink>
      <w:r>
        <w:rPr>
          <w:b w:val="0"/>
          <w:i w:val="0"/>
        </w:rPr>
        <w:t xml:space="preserve">, </w:t>
      </w:r>
      <w:hyperlink r:id="rId13">
        <w:r>
          <w:rPr>
            <w:color w:val="28577A"/>
            <w:u w:val="single"/>
          </w:rPr>
          <w:t>копия на сайте ФИПИ</w:t>
        </w:r>
      </w:hyperlink>
      <w:r>
        <w:rPr>
          <w:b w:val="0"/>
          <w:i w:val="0"/>
        </w:rPr>
        <w:t xml:space="preserve">, </w:t>
      </w:r>
      <w:hyperlink r:id="rId14">
        <w:r>
          <w:rPr>
            <w:color w:val="28577A"/>
            <w:u w:val="single"/>
          </w:rPr>
          <w:t>поправки приказа № 243/802</w:t>
        </w:r>
      </w:hyperlink>
      <w:r>
        <w:rPr>
          <w:b w:val="0"/>
          <w:i w:val="0"/>
        </w:rPr>
        <w:t>.</w:t>
      </w:r>
    </w:p>
    <w:p>
      <w:pPr>
        <w:pStyle w:val="ListBullet"/>
      </w:pPr>
      <w:r>
        <w:rPr>
          <w:b w:val="0"/>
          <w:i w:val="0"/>
        </w:rPr>
      </w:r>
      <w:hyperlink r:id="rId12">
        <w:r>
          <w:rPr>
            <w:color w:val="28577A"/>
            <w:u w:val="single"/>
          </w:rPr>
          <w:t>Раздел ФИПИ «Итоговое сочинение» 2026/27</w:t>
        </w:r>
      </w:hyperlink>
      <w:r>
        <w:rPr>
          <w:b w:val="0"/>
          <w:i w:val="0"/>
        </w:rPr>
        <w:t>.</w:t>
      </w:r>
    </w:p>
    <w:p>
      <w:pPr>
        <w:pStyle w:val="ListBullet"/>
      </w:pPr>
      <w:r>
        <w:rPr>
          <w:b w:val="0"/>
          <w:i w:val="0"/>
        </w:rPr>
      </w:r>
      <w:hyperlink r:id="rId15">
        <w:r>
          <w:rPr>
            <w:color w:val="28577A"/>
            <w:u w:val="single"/>
          </w:rPr>
          <w:t>Методические рекомендации 2025/26</w:t>
        </w:r>
      </w:hyperlink>
      <w:r>
        <w:rPr>
          <w:b w:val="0"/>
          <w:i w:val="0"/>
        </w:rPr>
        <w:t>, письмо от 24.10.2025 № 04-363: организационный ориентир, не документ на 2026/27 год. Региональный порядок проверьте отдельно.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hyperlink" Target="http://publication.pravo.gov.ru/document/0001202305160003" TargetMode="External"/><Relationship Id="rId12" Type="http://schemas.openxmlformats.org/officeDocument/2006/relationships/hyperlink" Target="https://fipi.ru/itogovoe-sochinenie" TargetMode="External"/><Relationship Id="rId13" Type="http://schemas.openxmlformats.org/officeDocument/2006/relationships/hyperlink" Target="https://doc.fipi.ru/ege/normativno-pravovye-dokumenty/Poriadok-provedeniia-GIA-11.pdf" TargetMode="External"/><Relationship Id="rId14" Type="http://schemas.openxmlformats.org/officeDocument/2006/relationships/hyperlink" Target="https://doc.fipi.ru/ege/normativno-pravovye-dokumenty/Prikaz_243_802_12.04.24.pdf" TargetMode="External"/><Relationship Id="rId15" Type="http://schemas.openxmlformats.org/officeDocument/2006/relationships/hyperlink" Target="https://doc.fipi.ru/itogovoe-sochinenie/mr_organizacia_it_sochineniya_2025-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01. Итоговое сочинение — разбор для директора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