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firstLine="0"/>
        <w:jc w:val="center"/>
      </w:pPr>
      <w:r>
        <w:rPr>
          <w:rFonts w:ascii="Times New Roman" w:hAnsi="Times New Roman" w:eastAsia="Times New Roman" w:cs="Times New Roman"/>
          <w:b/>
          <w:sz w:val="22"/>
        </w:rPr>
        <w:t xml:space="preserve">[наименование образовательной организации]</w:t>
      </w:r>
    </w:p>
    <w:p>
      <w:pPr>
        <w:ind w:firstLine="0"/>
        <w:jc w:val="center"/>
      </w:pPr>
      <w:r>
        <w:rPr>
          <w:rFonts w:ascii="Times New Roman" w:hAnsi="Times New Roman" w:eastAsia="Times New Roman" w:cs="Times New Roman"/>
          <w:b/>
          <w:sz w:val="28"/>
        </w:rPr>
        <w:t xml:space="preserve">ЧЕК-ЛИСТ ВНЕДРЕНИЯпорядка действий при угрозе атаки БПЛА и (или) ракетной опасностисрок внедрения — [5–7 рабочих дней]</w:t>
        <w:br/>
        <w:t/>
        <w:br/>
        <w:t/>
      </w:r>
    </w:p>
    <w:p>
      <w:pPr>
        <w:ind w:firstLine="0"/>
        <w:jc w:val="center"/>
      </w:pPr>
      <w:r>
        <w:rPr>
          <w:rFonts w:ascii="Times New Roman" w:hAnsi="Times New Roman" w:eastAsia="Times New Roman" w:cs="Times New Roman"/>
          <w:b/>
          <w:sz w:val="20"/>
        </w:rPr>
        <w:t>Нельзя ограничиться подписанием общей инструкции. Приложение с местами укрытия, вместимостью, маршрутами и ответственными должно быть заполнено по фактическому зданию до утверждения приказа.</w:t>
      </w:r>
    </w:p>
    <w:tbl>
      <w:tblPr>
        <w:tblStyle w:val="TableGrid"/>
        <w:tblW w:type="dxa" w:w="9637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4139"/>
        <w:gridCol w:w="2381"/>
        <w:gridCol w:w="1417"/>
        <w:gridCol w:w="1020"/>
      </w:tblGrid>
      <w:tr>
        <w:trPr>
          <w:tblHeader w:val="true"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D9D9"/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sz w:val="18"/>
              </w:rPr>
              <w:t>№</w:t>
            </w:r>
          </w:p>
        </w:tc>
        <w:tc>
          <w:tcPr>
            <w:tcW w:type="dxa" w:w="41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D9D9"/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sz w:val="18"/>
              </w:rPr>
              <w:t>Что сделать</w:t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D9D9"/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sz w:val="18"/>
              </w:rPr>
              <w:t>Результат / документ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D9D9"/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sz w:val="18"/>
              </w:rPr>
              <w:t>Срок</w:t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D9D9D9"/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sz w:val="18"/>
              </w:rPr>
              <w:t>Отметка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1</w:t>
            </w:r>
          </w:p>
        </w:tc>
        <w:tc>
          <w:tcPr>
            <w:tcW w:type="dxa" w:w="41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Назначить рабочую комиссию: ответственный за ГО и ЧС, заместитель по АХР, охрана труда, охрана, представитель администрации.</w:t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Резолюция / состав комиссии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 xml:space="preserve">[дни 1–2]</w:t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2</w:t>
            </w:r>
          </w:p>
        </w:tc>
        <w:tc>
          <w:tcPr>
            <w:tcW w:type="dxa" w:w="41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Обследовать все подвальные, цокольные и внутренние помещения нижних этажей. Не называть помещение «убежищем» без официального статуса.</w:t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Контрольные листы (приложение 6)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 xml:space="preserve">[до дня 3]</w:t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3</w:t>
            </w:r>
          </w:p>
        </w:tc>
        <w:tc>
          <w:tcPr>
            <w:tcW w:type="dxa" w:w="41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Рассчитать максимальное одновременное число обучающихся, работников, арендаторов и посетителей.</w:t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Расчет численности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 xml:space="preserve">[до дня 3]</w:t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4</w:t>
            </w:r>
          </w:p>
        </w:tc>
        <w:tc>
          <w:tcPr>
            <w:tcW w:type="dxa" w:w="41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Закрепить за каждой зоной основное и резервное место временного укрытия, проверить суммарную вместимость.</w:t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Заполненное приложение 2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 xml:space="preserve">[до дня 4]</w:t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5</w:t>
            </w:r>
          </w:p>
        </w:tc>
        <w:tc>
          <w:tcPr>
            <w:tcW w:type="dxa" w:w="41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Проверить маршруты: без выхода наружу, минимум остекления, отсутствие встречных потоков и загромождений.</w:t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Схема / маршрутный лист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 xml:space="preserve">[до дня 4]</w:t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6</w:t>
            </w:r>
          </w:p>
        </w:tc>
        <w:tc>
          <w:tcPr>
            <w:tcW w:type="dxa" w:w="41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Отдельно определить сопровождение обучающихся и работников с ОВЗ, инвалидностью и временно ограниченной мобильностью; назначить замещающих.</w:t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Матрица ответственности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 xml:space="preserve">[до дня 4]</w:t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7</w:t>
            </w:r>
          </w:p>
        </w:tc>
        <w:tc>
          <w:tcPr>
            <w:tcW w:type="dxa" w:w="41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Определить текст и способы внутреннего оповещения. Проверить, что сигнал не отправляет людей автоматически на улицу как при пожарной эвакуации.</w:t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Акт проверки оповещения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 xml:space="preserve">[до дня 4]</w:t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8</w:t>
            </w:r>
          </w:p>
        </w:tc>
        <w:tc>
          <w:tcPr>
            <w:tcW w:type="dxa" w:w="41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Подготовить бумажные списки классов, сотрудников, посетителей и формы первичного учета.</w:t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Комплект папок по зонам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 xml:space="preserve">[до дня 5]</w:t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9</w:t>
            </w:r>
          </w:p>
        </w:tc>
        <w:tc>
          <w:tcPr>
            <w:tcW w:type="dxa" w:w="41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Оснастить места укрытия: аптечка, автономные фонари, памятка, средства связи ответственного, вода по возможности; убрать опасные предметы.</w:t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Акт готовности / фото для внутреннего учета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 xml:space="preserve">[до дня 5]</w:t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10</w:t>
            </w:r>
          </w:p>
        </w:tc>
        <w:tc>
          <w:tcPr>
            <w:tcW w:type="dxa" w:w="41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 xml:space="preserve">Заполнить матрицу ответственности: основной и замещающий по оповещению, 112, учету, помощи ОВЗ, первой помощи, связи с учредителем и родителями.</w:t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Приложение 3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 xml:space="preserve">[до дня 5]</w:t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11</w:t>
            </w:r>
          </w:p>
        </w:tc>
        <w:tc>
          <w:tcPr>
            <w:tcW w:type="dxa" w:w="41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Подписать приказ и Инструкцию. Не подписывать документ с незаполненным приложением о местах укрытия.</w:t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Приказ, Инструкция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 xml:space="preserve">[до дня 7]</w:t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12</w:t>
            </w:r>
          </w:p>
        </w:tc>
        <w:tc>
          <w:tcPr>
            <w:tcW w:type="dxa" w:w="41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Провести целевой инструктаж всех работников под подпись; отдельно отработать алгоритмы педагогов, охраны, столовой и технического персонала.</w:t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Лист ознакомления / журнал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 xml:space="preserve">[до дня 7]</w:t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13</w:t>
            </w:r>
          </w:p>
        </w:tc>
        <w:tc>
          <w:tcPr>
            <w:tcW w:type="dxa" w:w="41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Направить родителям единое информационное сообщение: во время сигнала дети не отпускаются, родителям не следует приезжать к зданию.</w:t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Сообщение / публикация без схем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 xml:space="preserve">[до дня 7]</w:t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14</w:t>
            </w:r>
          </w:p>
        </w:tc>
        <w:tc>
          <w:tcPr>
            <w:tcW w:type="dxa" w:w="41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Провести тренировку по укрытию без выхода на улицу, измерить время, проверить учет и устранить встречные потоки.</w:t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Акт тренировки и корректировки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 xml:space="preserve">[первые две недели года]</w:t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24"/>
              </w:rPr>
              <w:t>☐</w:t>
            </w:r>
          </w:p>
        </w:tc>
      </w:tr>
      <w:tr>
        <w:trPr>
          <w:cantSplit/>
        </w:trPr>
        <w:tc>
          <w:tcPr>
            <w:tcW w:type="dxa" w:w="68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15</w:t>
            </w:r>
          </w:p>
        </w:tc>
        <w:tc>
          <w:tcPr>
            <w:tcW w:type="dxa" w:w="413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Определить место хранения подписанных документов и внутренних схем. Детальные маршруты и распределение на сайте не размещать.</w:t>
            </w:r>
          </w:p>
        </w:tc>
        <w:tc>
          <w:tcPr>
            <w:tcW w:type="dxa" w:w="2381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Номенклатура / папка ГО и ЧС</w:t>
            </w:r>
          </w:p>
        </w:tc>
        <w:tc>
          <w:tcPr>
            <w:tcW w:type="dxa" w:w="1417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16"/>
              </w:rPr>
              <w:t>постоянно</w:t>
            </w:r>
          </w:p>
        </w:tc>
        <w:tc>
          <w:tcPr>
            <w:tcW w:type="dxa" w:w="10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ind w:firstLine="0" w:left="0" w:right="0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24"/>
              </w:rPr>
              <w:t>☐</w:t>
            </w:r>
          </w:p>
        </w:tc>
      </w:tr>
    </w:tbl>
    <w:p/>
    <w:p>
      <w:pPr>
        <w:pStyle w:val="Heading1"/>
        <w:ind w:firstLine="0"/>
      </w:pPr>
      <w:r>
        <w:rPr>
          <w:rFonts w:ascii="Times New Roman" w:hAnsi="Times New Roman" w:eastAsia="Times New Roman" w:cs="Times New Roman"/>
          <w:sz w:val="24"/>
        </w:rPr>
        <w:t>Критические ошибки, которых следует избежать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2"/>
        </w:rPr>
        <w:t xml:space="preserve">– </w:t>
      </w:r>
      <w:r>
        <w:rPr>
          <w:rFonts w:ascii="Times New Roman" w:hAnsi="Times New Roman" w:eastAsia="Times New Roman" w:cs="Times New Roman"/>
          <w:sz w:val="22"/>
        </w:rPr>
        <w:t>дословно переписать городскую инструкцию без распределения обязанностей педагогов и учета детей;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2"/>
        </w:rPr>
        <w:t xml:space="preserve">– </w:t>
      </w:r>
      <w:r>
        <w:rPr>
          <w:rFonts w:ascii="Times New Roman" w:hAnsi="Times New Roman" w:eastAsia="Times New Roman" w:cs="Times New Roman"/>
          <w:sz w:val="22"/>
        </w:rPr>
        <w:t>указать один подвал без расчета вместимости и резервных зон;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2"/>
        </w:rPr>
        <w:t xml:space="preserve">– </w:t>
      </w:r>
      <w:r>
        <w:rPr>
          <w:rFonts w:ascii="Times New Roman" w:hAnsi="Times New Roman" w:eastAsia="Times New Roman" w:cs="Times New Roman"/>
          <w:sz w:val="22"/>
        </w:rPr>
        <w:t>организовать выход на улицу или сбор во дворе при воздушной угрозе;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2"/>
        </w:rPr>
        <w:t xml:space="preserve">– </w:t>
      </w:r>
      <w:r>
        <w:rPr>
          <w:rFonts w:ascii="Times New Roman" w:hAnsi="Times New Roman" w:eastAsia="Times New Roman" w:cs="Times New Roman"/>
          <w:sz w:val="22"/>
        </w:rPr>
        <w:t>использовать только пожарный сигнал, который запускает привычную эвакуацию наружу;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2"/>
        </w:rPr>
        <w:t xml:space="preserve">– </w:t>
      </w:r>
      <w:r>
        <w:rPr>
          <w:rFonts w:ascii="Times New Roman" w:hAnsi="Times New Roman" w:eastAsia="Times New Roman" w:cs="Times New Roman"/>
          <w:sz w:val="22"/>
        </w:rPr>
        <w:t>не предусмотреть действия во время перемены, в столовой, спортзале и на пришкольной территории;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2"/>
        </w:rPr>
        <w:t xml:space="preserve">– </w:t>
      </w:r>
      <w:r>
        <w:rPr>
          <w:rFonts w:ascii="Times New Roman" w:hAnsi="Times New Roman" w:eastAsia="Times New Roman" w:cs="Times New Roman"/>
          <w:sz w:val="22"/>
        </w:rPr>
        <w:t>не назначить замещающих ответственных;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2"/>
        </w:rPr>
        <w:t xml:space="preserve">– </w:t>
      </w:r>
      <w:r>
        <w:rPr>
          <w:rFonts w:ascii="Times New Roman" w:hAnsi="Times New Roman" w:eastAsia="Times New Roman" w:cs="Times New Roman"/>
          <w:sz w:val="22"/>
        </w:rPr>
        <w:t>публиковать детальные схемы укрытия и внутренние маршруты в открытом доступе;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2"/>
        </w:rPr>
        <w:t xml:space="preserve">– </w:t>
      </w:r>
      <w:r>
        <w:rPr>
          <w:rFonts w:ascii="Times New Roman" w:hAnsi="Times New Roman" w:eastAsia="Times New Roman" w:cs="Times New Roman"/>
          <w:sz w:val="22"/>
        </w:rPr>
        <w:t>отпускать детей родителям во время действия сигнала;</w:t>
      </w:r>
    </w:p>
    <w:p>
      <w:pPr>
        <w:pStyle w:val="BodyNoIndent"/>
        <w:ind w:left="397" w:hanging="283"/>
      </w:pPr>
      <w:r>
        <w:rPr>
          <w:rFonts w:ascii="Times New Roman" w:hAnsi="Times New Roman" w:eastAsia="Times New Roman" w:cs="Times New Roman"/>
          <w:sz w:val="22"/>
        </w:rPr>
        <w:t xml:space="preserve">– </w:t>
      </w:r>
      <w:r>
        <w:rPr>
          <w:rFonts w:ascii="Times New Roman" w:hAnsi="Times New Roman" w:eastAsia="Times New Roman" w:cs="Times New Roman"/>
          <w:sz w:val="22"/>
        </w:rPr>
        <w:t>называть обычное помещение «убежищем» или «защитным сооружением» без подтвержденного статуса.</w:t>
      </w:r>
    </w:p>
    <w:p>
      <w:pPr>
        <w:ind w:firstLine="0"/>
        <w:jc w:val="center"/>
      </w:pPr>
      <w:r>
        <w:rPr>
          <w:rFonts w:ascii="Times New Roman" w:hAnsi="Times New Roman" w:eastAsia="Times New Roman" w:cs="Times New Roman"/>
          <w:b/>
          <w:sz w:val="22"/>
        </w:rPr>
        <w:t xml:space="preserve">Минимальный комплект к началу применения: приказ + Инструкция + заполненный перечень мест/маршрутов + матрица ответственности + лист ознакомления + готовые тексты оповещения.</w:t>
      </w:r>
    </w:p>
    <w:sectPr w:rsidR="00FC693F" w:rsidRPr="0006063C" w:rsidSect="00034616">
      <w:footerReference w:type="default" r:id="rId9"/>
      <w:pgSz w:w="12240" w:h="15840"/>
      <w:pgMar w:top="1134" w:right="680" w:bottom="1020" w:left="124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Times New Roman" w:hAnsi="Times New Roman" w:eastAsia="Times New Roman" w:cs="Times New Roman"/>
        <w:sz w:val="16"/>
      </w:rPr>
      <w:t xml:space="preserve">Чек-лист | версия 1.0 от 24.08.2026  |  стр. </w:t>
    </w:r>
    <w:r>
      <w:rPr>
        <w:rFonts w:ascii="Times New Roman" w:hAnsi="Times New Roman" w:eastAsia="Times New Roman" w:cs="Times New Roman"/>
        <w:sz w:val="16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0" w:before="0"/>
      <w:ind w:firstLine="709"/>
      <w:jc w:val="both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 w:line="240" w:lineRule="auto"/>
      <w:ind w:firstLine="0"/>
      <w:jc w:val="center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 w:line="240" w:lineRule="auto"/>
      <w:ind w:firstLine="0"/>
      <w:jc w:val="left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60"/>
      <w:ind w:firstLine="0"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NoIndent">
    <w:name w:val="Body No Indent"/>
    <w:pPr>
      <w:spacing w:line="276" w:lineRule="auto" w:after="0"/>
      <w:ind w:firstLine="0"/>
    </w:pPr>
    <w:rPr>
      <w:rFonts w:ascii="Times New Roman" w:hAnsi="Times New Roman"/>
      <w:sz w:val="22"/>
    </w:rPr>
  </w:style>
  <w:style w:type="paragraph" w:customStyle="1" w:styleId="SmallNote">
    <w:name w:val="Small Note"/>
    <w:pPr>
      <w:spacing w:line="240" w:lineRule="auto" w:after="40"/>
      <w:ind w:firstLine="0"/>
    </w:pPr>
    <w:rPr>
      <w:rFonts w:ascii="Times New Roman" w:hAnsi="Times New Roman"/>
      <w:i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Чек-лист внедрения инструкции до 01.09.2026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