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7D2638"/>
          <w:sz w:val="18"/>
        </w:rPr>
        <w:t>ДИРЕКТОР ШКОЛЫ  /  БЕЗОПАСНОСТЬ</w:t>
      </w:r>
    </w:p>
    <w:p>
      <w:pPr>
        <w:pStyle w:val="Title"/>
      </w:pPr>
      <w:r>
        <w:t>Антитеррористическая тренировка в школе</w:t>
      </w:r>
    </w:p>
    <w:p>
      <w:pPr>
        <w:pStyle w:val="Subtitle"/>
      </w:pPr>
      <w:r>
        <w:t>Бесплатный рабочий комплект • редакция от 12 августа 2026 года</w:t>
      </w:r>
    </w:p>
    <w:p>
      <w:pPr>
        <w:spacing w:after="320"/>
      </w:pPr>
      <w:r>
        <w:rPr>
          <w:b/>
          <w:color w:val="5D6670"/>
          <w:sz w:val="18"/>
        </w:rPr>
        <w:t>01 • НАЧАТЬ ЗДЕСЬ</w:t>
      </w:r>
    </w:p>
    <w:p>
      <w:r>
        <w:rPr>
          <w:b/>
          <w:i w:val="0"/>
        </w:rPr>
        <w:t>Комплект помогает подготовиться к всероссийскому учению [дата учения]: от приказа до отчёта. Федеральное организационное основание — письмо Минпросвещения России от 22.07.2026 № АН-1006/14; точный порядок для школы определяет акт её региона.</w:t>
      </w:r>
    </w:p>
    <w:p>
      <w:pPr>
        <w:pBdr>
          <w:bottom w:val="single" w:sz="12" w:space="6" w:color="8B1E2D"/>
        </w:pBdr>
        <w:pStyle w:val="Heading1"/>
        <w:keepNext/>
      </w:pPr>
      <w:r>
        <w:t>Главное на 12 августа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5102"/>
        <w:gridCol w:w="5102"/>
      </w:tblGrid>
      <w:tr>
        <w:trPr>
          <w:tblHeader w:val="true"/>
          <w:cantSplit/>
        </w:trPr>
        <w:tc>
          <w:tcPr>
            <w:tcW w:type="dxa" w:w="5102"/>
            <w:shd w:val="clear" w:color="auto" w:fill="8B1E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ind w:firstLine="0" w:left="0"/>
            </w:pPr>
            <w:r>
              <w:rPr>
                <w:b/>
                <w:color w:val="FFFFFF"/>
                <w:b/>
                <w:color w:val="FFFFFF"/>
                <w:sz w:val="22"/>
              </w:rPr>
              <w:t>Проверка</w:t>
            </w:r>
          </w:p>
        </w:tc>
        <w:tc>
          <w:tcPr>
            <w:tcW w:type="dxa" w:w="5102"/>
            <w:shd w:val="clear" w:color="auto" w:fill="8B1E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ind w:firstLine="0" w:left="0"/>
            </w:pPr>
            <w:r>
              <w:rPr>
                <w:b/>
                <w:color w:val="FFFFFF"/>
                <w:b/>
                <w:color w:val="FFFFFF"/>
                <w:sz w:val="22"/>
              </w:rPr>
              <w:t>Что сделать</w:t>
            </w:r>
          </w:p>
        </w:tc>
      </w:tr>
      <w:tr>
        <w:trPr>
          <w:cantSplit/>
        </w:trPr>
        <w:tc>
          <w:tcPr>
            <w:tcW w:type="dxa" w:w="510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Региональный акт</w:t>
            </w:r>
          </w:p>
        </w:tc>
        <w:tc>
          <w:tcPr>
            <w:tcW w:type="dxa" w:w="510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Получить у учредителя или органа управления образованием; вписать реквизиты в приказ школы</w:t>
            </w:r>
          </w:p>
        </w:tc>
      </w:tr>
      <w:tr>
        <w:trPr>
          <w:cantSplit/>
        </w:trPr>
        <w:tc>
          <w:tcPr>
            <w:tcW w:type="dxa" w:w="510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Дата и время</w:t>
            </w:r>
          </w:p>
        </w:tc>
        <w:tc>
          <w:tcPr>
            <w:tcW w:type="dxa" w:w="510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Основной день — [дата учения], 10:00; резервный — [резервная дата]; сверить с региональным актом</w:t>
            </w:r>
          </w:p>
        </w:tc>
      </w:tr>
      <w:tr>
        <w:trPr>
          <w:cantSplit/>
        </w:trPr>
        <w:tc>
          <w:tcPr>
            <w:tcW w:type="dxa" w:w="510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Тема</w:t>
            </w:r>
          </w:p>
        </w:tc>
        <w:tc>
          <w:tcPr>
            <w:tcW w:type="dxa" w:w="510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Действия сотрудников охраны и работников образовательных организаций при захвате заложников и при нападении с использованием горючих жидкостей</w:t>
            </w:r>
          </w:p>
        </w:tc>
      </w:tr>
      <w:tr>
        <w:trPr>
          <w:cantSplit/>
        </w:trPr>
        <w:tc>
          <w:tcPr>
            <w:tcW w:type="dxa" w:w="510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Техническая готовность</w:t>
            </w:r>
          </w:p>
        </w:tc>
        <w:tc>
          <w:tcPr>
            <w:tcW w:type="dxa" w:w="510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Проверить средства и системы оповещения без создания ложного вызова</w:t>
            </w:r>
          </w:p>
        </w:tc>
      </w:tr>
      <w:tr>
        <w:trPr>
          <w:cantSplit/>
        </w:trPr>
        <w:tc>
          <w:tcPr>
            <w:tcW w:type="dxa" w:w="510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Охрана</w:t>
            </w:r>
          </w:p>
        </w:tc>
        <w:tc>
          <w:tcPr>
            <w:tcW w:type="dxa" w:w="510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Незамедлительно довести региональные указания и провести инструктаж по применимым Алгоритмам действий</w:t>
            </w:r>
          </w:p>
        </w:tc>
      </w:tr>
    </w:tbl>
    <w:p>
      <w:pPr>
        <w:pBdr>
          <w:bottom w:val="single" w:sz="12" w:space="6" w:color="8B1E2D"/>
        </w:pBdr>
        <w:pStyle w:val="Heading1"/>
        <w:keepNext/>
      </w:pPr>
      <w:r>
        <w:t>Что входит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3402"/>
        <w:gridCol w:w="3402"/>
        <w:gridCol w:w="3402"/>
      </w:tblGrid>
      <w:tr>
        <w:trPr>
          <w:tblHeader w:val="true"/>
          <w:cantSplit/>
        </w:trPr>
        <w:tc>
          <w:tcPr>
            <w:tcW w:type="dxa" w:w="3402"/>
            <w:shd w:val="clear" w:color="auto" w:fill="8B1E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ind w:firstLine="0" w:left="0"/>
            </w:pPr>
            <w:r>
              <w:rPr>
                <w:b/>
                <w:color w:val="FFFFFF"/>
                <w:b/>
                <w:color w:val="FFFFFF"/>
                <w:sz w:val="22"/>
              </w:rPr>
              <w:t>№</w:t>
            </w:r>
          </w:p>
        </w:tc>
        <w:tc>
          <w:tcPr>
            <w:tcW w:type="dxa" w:w="3402"/>
            <w:shd w:val="clear" w:color="auto" w:fill="8B1E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ind w:firstLine="0" w:left="0"/>
            </w:pPr>
            <w:r>
              <w:rPr>
                <w:b/>
                <w:color w:val="FFFFFF"/>
                <w:b/>
                <w:color w:val="FFFFFF"/>
                <w:sz w:val="22"/>
              </w:rPr>
              <w:t>Документ</w:t>
            </w:r>
          </w:p>
        </w:tc>
        <w:tc>
          <w:tcPr>
            <w:tcW w:type="dxa" w:w="3402"/>
            <w:shd w:val="clear" w:color="auto" w:fill="8B1E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ind w:firstLine="0" w:left="0"/>
            </w:pPr>
            <w:r>
              <w:rPr>
                <w:b/>
                <w:color w:val="FFFFFF"/>
                <w:b/>
                <w:color w:val="FFFFFF"/>
                <w:sz w:val="22"/>
              </w:rPr>
              <w:t>Когда открыть</w:t>
            </w:r>
          </w:p>
        </w:tc>
      </w:tr>
      <w:tr>
        <w:trPr>
          <w:cantSplit/>
        </w:trPr>
        <w:tc>
          <w:tcPr>
            <w:tcW w:type="dxa" w:w="340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01</w:t>
            </w:r>
          </w:p>
        </w:tc>
        <w:tc>
          <w:tcPr>
            <w:tcW w:type="dxa" w:w="340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Краткое руководство</w:t>
            </w:r>
          </w:p>
        </w:tc>
        <w:tc>
          <w:tcPr>
            <w:tcW w:type="dxa" w:w="340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Перед подготовкой</w:t>
            </w:r>
          </w:p>
        </w:tc>
      </w:tr>
      <w:tr>
        <w:trPr>
          <w:cantSplit/>
        </w:trPr>
        <w:tc>
          <w:tcPr>
            <w:tcW w:type="dxa" w:w="340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02</w:t>
            </w:r>
          </w:p>
        </w:tc>
        <w:tc>
          <w:tcPr>
            <w:tcW w:type="dxa" w:w="340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Приказ о проведении</w:t>
            </w:r>
          </w:p>
        </w:tc>
        <w:tc>
          <w:tcPr>
            <w:tcW w:type="dxa" w:w="340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После получения вводной и согласования даты</w:t>
            </w:r>
          </w:p>
        </w:tc>
      </w:tr>
      <w:tr>
        <w:trPr>
          <w:cantSplit/>
        </w:trPr>
        <w:tc>
          <w:tcPr>
            <w:tcW w:type="dxa" w:w="340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03</w:t>
            </w:r>
          </w:p>
        </w:tc>
        <w:tc>
          <w:tcPr>
            <w:tcW w:type="dxa" w:w="340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План-сценарий</w:t>
            </w:r>
          </w:p>
        </w:tc>
        <w:tc>
          <w:tcPr>
            <w:tcW w:type="dxa" w:w="340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На рабочей встрече организаторов</w:t>
            </w:r>
          </w:p>
        </w:tc>
      </w:tr>
      <w:tr>
        <w:trPr>
          <w:cantSplit/>
        </w:trPr>
        <w:tc>
          <w:tcPr>
            <w:tcW w:type="dxa" w:w="340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04</w:t>
            </w:r>
          </w:p>
        </w:tc>
        <w:tc>
          <w:tcPr>
            <w:tcW w:type="dxa" w:w="340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Карточки ролей</w:t>
            </w:r>
          </w:p>
        </w:tc>
        <w:tc>
          <w:tcPr>
            <w:tcW w:type="dxa" w:w="340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На инструктаже персонала</w:t>
            </w:r>
          </w:p>
        </w:tc>
      </w:tr>
      <w:tr>
        <w:trPr>
          <w:cantSplit/>
        </w:trPr>
        <w:tc>
          <w:tcPr>
            <w:tcW w:type="dxa" w:w="340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05</w:t>
            </w:r>
          </w:p>
        </w:tc>
        <w:tc>
          <w:tcPr>
            <w:tcW w:type="dxa" w:w="340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Инструкция работникам</w:t>
            </w:r>
          </w:p>
        </w:tc>
        <w:tc>
          <w:tcPr>
            <w:tcW w:type="dxa" w:w="340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До учения и на повторном инструктаже</w:t>
            </w:r>
          </w:p>
        </w:tc>
      </w:tr>
      <w:tr>
        <w:trPr>
          <w:cantSplit/>
        </w:trPr>
        <w:tc>
          <w:tcPr>
            <w:tcW w:type="dxa" w:w="340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06</w:t>
            </w:r>
          </w:p>
        </w:tc>
        <w:tc>
          <w:tcPr>
            <w:tcW w:type="dxa" w:w="340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Памятки обучающимся и родителям</w:t>
            </w:r>
          </w:p>
        </w:tc>
        <w:tc>
          <w:tcPr>
            <w:tcW w:type="dxa" w:w="340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Перед учением без раскрытия служебных деталей</w:t>
            </w:r>
          </w:p>
        </w:tc>
      </w:tr>
      <w:tr>
        <w:trPr>
          <w:cantSplit/>
        </w:trPr>
        <w:tc>
          <w:tcPr>
            <w:tcW w:type="dxa" w:w="340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07</w:t>
            </w:r>
          </w:p>
        </w:tc>
        <w:tc>
          <w:tcPr>
            <w:tcW w:type="dxa" w:w="340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Карта наблюдателя и хронометраж</w:t>
            </w:r>
          </w:p>
        </w:tc>
        <w:tc>
          <w:tcPr>
            <w:tcW w:type="dxa" w:w="340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Во время учения</w:t>
            </w:r>
          </w:p>
        </w:tc>
      </w:tr>
      <w:tr>
        <w:trPr>
          <w:cantSplit/>
        </w:trPr>
        <w:tc>
          <w:tcPr>
            <w:tcW w:type="dxa" w:w="340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08</w:t>
            </w:r>
          </w:p>
        </w:tc>
        <w:tc>
          <w:tcPr>
            <w:tcW w:type="dxa" w:w="340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Отчёт, акт и план корректирующих мер</w:t>
            </w:r>
          </w:p>
        </w:tc>
        <w:tc>
          <w:tcPr>
            <w:tcW w:type="dxa" w:w="340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Сразу после разбора</w:t>
            </w:r>
          </w:p>
        </w:tc>
      </w:tr>
    </w:tbl>
    <w:p>
      <w:pPr>
        <w:pBdr>
          <w:bottom w:val="single" w:sz="12" w:space="6" w:color="8B1E2D"/>
        </w:pBdr>
        <w:pStyle w:val="Heading1"/>
        <w:keepNext/>
      </w:pPr>
      <w:r>
        <w:t>Пять границ безопасности</w:t>
      </w:r>
    </w:p>
    <w:p>
      <w:pPr>
        <w:pStyle w:val="ListNumber"/>
        <w:keepNext w:val="0"/>
        <w:keepLines/>
        <w:spacing w:after="40"/>
      </w:pPr>
      <w:r>
        <w:t>Не включайте в открытые документы сведения о системе охраны, уязвимых местах, маршрутах реагирования и содержании паспорта безопасности.</w:t>
      </w:r>
    </w:p>
    <w:p>
      <w:pPr>
        <w:pStyle w:val="ListNumber"/>
        <w:keepNext w:val="0"/>
        <w:keepLines/>
        <w:spacing w:after="40"/>
      </w:pPr>
      <w:r>
        <w:t>Не используйте настоящее или имитационное оружие, пиротехнику, дым, громкие внезапные звуки и физическое удержание людей.</w:t>
      </w:r>
    </w:p>
    <w:p>
      <w:pPr>
        <w:pStyle w:val="ListNumber"/>
        <w:keepNext w:val="0"/>
        <w:keepLines/>
        <w:spacing w:after="40"/>
      </w:pPr>
      <w:r>
        <w:t>Не поручайте работникам школы задерживать или обезвреживать условного нарушителя. Их задача — сообщить, запустить установленный алгоритм, защитить детей и выполнять команды оперативных служб.</w:t>
      </w:r>
    </w:p>
    <w:p>
      <w:pPr>
        <w:pStyle w:val="ListNumber"/>
        <w:keepNext w:val="0"/>
        <w:keepLines/>
        <w:spacing w:after="40"/>
      </w:pPr>
      <w:r>
        <w:t>Не публикуйте точные дату, время, вводную и расстановку сил до завершения мероприятия.</w:t>
      </w:r>
    </w:p>
    <w:p>
      <w:pPr>
        <w:pStyle w:val="ListNumber"/>
        <w:keepNext w:val="0"/>
        <w:keepLines/>
        <w:spacing w:after="40"/>
      </w:pPr>
      <w:r>
        <w:t>Если сценарий поступил от регионального штаба или учредителя, он имеет приоритет; местный план только адаптирует роли и организационные детали.</w:t>
      </w:r>
    </w:p>
    <w:p>
      <w:pPr>
        <w:pBdr>
          <w:bottom w:val="single" w:sz="12" w:space="6" w:color="8B1E2D"/>
        </w:pBdr>
        <w:pStyle w:val="Heading1"/>
        <w:keepNext/>
      </w:pPr>
      <w:r>
        <w:t>Порядок работы</w:t>
      </w:r>
    </w:p>
    <w:p>
      <w:pPr>
        <w:pStyle w:val="ListNumber"/>
        <w:keepNext w:val="0"/>
        <w:keepLines/>
        <w:spacing w:after="40"/>
      </w:pPr>
      <w:r>
        <w:t>Получите региональный акт, применимые Алгоритмы действий и вводную организатора; подтвердите формат взаимодействия с оперативными службами.</w:t>
      </w:r>
    </w:p>
    <w:p>
      <w:pPr>
        <w:pStyle w:val="ListNumber"/>
        <w:keepNext w:val="0"/>
        <w:keepLines/>
        <w:spacing w:after="40"/>
      </w:pPr>
      <w:r>
        <w:t>Не оформляйте пропущенные сроки задним числом: зафиксируйте фактическую дату выполнения и выполните оставшиеся действия незамедлительно.</w:t>
      </w:r>
    </w:p>
    <w:p>
      <w:pPr>
        <w:pStyle w:val="ListNumber"/>
        <w:keepNext w:val="0"/>
        <w:keepLines/>
        <w:spacing w:after="40"/>
      </w:pPr>
      <w:r>
        <w:t>Проведите оценку рисков для детей и работников; определите щадящий формат для тех, кому он требуется.</w:t>
      </w:r>
    </w:p>
    <w:p>
      <w:pPr>
        <w:pStyle w:val="ListNumber"/>
        <w:keepNext w:val="0"/>
        <w:keepLines/>
        <w:spacing w:after="40"/>
      </w:pPr>
      <w:r>
        <w:t>Издайте приказ и утвердите план-сценарий как приложение ограниченного рабочего распространения.</w:t>
      </w:r>
    </w:p>
    <w:p>
      <w:pPr>
        <w:pStyle w:val="ListNumber"/>
        <w:keepNext w:val="0"/>
        <w:keepLines/>
        <w:spacing w:after="40"/>
      </w:pPr>
      <w:r>
        <w:t>Разведите инструктаж работников, охраны и обучающихся по возрасту и роли.</w:t>
      </w:r>
    </w:p>
    <w:p>
      <w:pPr>
        <w:pStyle w:val="ListNumber"/>
        <w:keepNext w:val="0"/>
        <w:keepLines/>
        <w:spacing w:after="40"/>
      </w:pPr>
      <w:r>
        <w:t>Проведите учение; наблюдатели фиксируют время и действия, не вмешиваясь без угрозы безопасности.</w:t>
      </w:r>
    </w:p>
    <w:p>
      <w:pPr>
        <w:pStyle w:val="ListNumber"/>
        <w:keepNext w:val="0"/>
        <w:keepLines/>
        <w:spacing w:after="40"/>
      </w:pPr>
      <w:r>
        <w:t>Остановите мероприятие при реальной угрозе, травме, панике, неисправности связи или команде руководителя.</w:t>
      </w:r>
    </w:p>
    <w:p>
      <w:pPr>
        <w:pStyle w:val="ListNumber"/>
        <w:keepNext w:val="0"/>
        <w:keepLines/>
        <w:spacing w:after="40"/>
      </w:pPr>
      <w:r>
        <w:t>Проведите разбор без персональных обвинений; утвердите корректирующие меры с ответственными и сроками.</w:t>
      </w:r>
    </w:p>
    <w:p>
      <w:pPr>
        <w:pBdr>
          <w:bottom w:val="single" w:sz="12" w:space="6" w:color="8B1E2D"/>
        </w:pBdr>
        <w:pStyle w:val="Heading1"/>
        <w:keepNext/>
      </w:pPr>
      <w:r>
        <w:t>Правовая рамка</w:t>
      </w:r>
    </w:p>
    <w:p>
      <w:r>
        <w:rPr>
          <w:b w:val="0"/>
          <w:i w:val="0"/>
        </w:rPr>
        <w:t>Базовые требования к объектам сферы Минпросвещения установлены постановлением Правительства РФ от 02.08.2019 № 1006 (ред. от 05.03.2022). Пункт 24 предусматривает практические занятия и инструктаж работников, а также учения и тренировки по реализации планов обеспечения антитеррористической защищённости. Дата и тема августовского учения следуют из организационных документов, а не непосредственно из постановления № 1006.</w:t>
      </w:r>
    </w:p>
    <w:p>
      <w:r>
        <w:rPr>
          <w:b w:val="0"/>
          <w:i w:val="0"/>
        </w:rPr>
        <w:t>Приказ Минобрнауки Республики Дагестан от 03.08.2026 № 13-835/26 подтверждает федеральное поручение, дату и тему, но его сроки и требование о видеосъёмке на 2–3 определённых объектах действуют в Республике Дагестан. Школа другого субъекта использует собственный региональный акт.</w:t>
      </w:r>
    </w:p>
    <w:p>
      <w:r>
        <w:rPr>
          <w:b w:val="0"/>
          <w:i w:val="0"/>
        </w:rPr>
        <w:t>Сведения о мерах защищённости и паспорт безопасности могут иметь ограниченный режим доступа. В открытой новости сообщайте только факт, цель и общие итоги, без описания уязвимостей и тактики реагирования.</w:t>
      </w:r>
    </w:p>
    <w:sectPr w:rsidR="00FC693F" w:rsidRPr="0006063C" w:rsidSect="00034616">
      <w:footerReference w:type="default" r:id="rId9"/>
      <w:pgSz w:w="11906" w:h="16838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директоршколы.рф  •  адаптируйте под объект и указания организатора учения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Times New Roman" w:hAnsi="Times New Roman" w:eastAsia="Times New Roman"/>
      <w:color w:val="000000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="Georgia" w:hAnsi="Georgia"/>
      <w:b/>
      <w:color w:val="8B1E2D"/>
      <w:sz w:val="34"/>
      <w:szCs w:val="3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60"/>
      <w:outlineLvl w:val="1"/>
    </w:pPr>
    <w:rPr>
      <w:rFonts w:ascii="Georgia" w:hAnsi="Georgia"/>
      <w:b/>
      <w:color w:val="8B1E2D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="Georgia" w:hAnsi="Georgia"/>
      <w:b/>
      <w:color w:val="5A121E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="Georgia" w:hAnsi="Georgia"/>
      <w:b/>
      <w:color w:val="8B1E2D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 директора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