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ba05e2376187d8c3370b17fa122668fa39d0140"/>
    <w:p>
      <w:pPr>
        <w:pStyle w:val="Heading1"/>
        <w:widowControl/>
        <w:ind w:firstLine="0"/>
        <w:jc w:val="center"/>
      </w:pPr>
      <w:r>
        <w:t xml:space="preserve">Как составить аналитическую справку по итогам четверти</w:t>
      </w:r>
    </w:p>
    <w:p>
      <w:pPr>
        <w:pStyle w:val="FirstParagraph"/>
        <w:widowControl/>
      </w:pPr>
      <w:r>
        <w:rPr>
          <w:iCs/>
          <w:i/>
        </w:rPr>
        <w:t xml:space="preserve">Инструкция для заместителя директора по учебно-воспитательной работе</w:t>
      </w:r>
    </w:p>
    <w:p>
      <w:pPr>
        <w:pStyle w:val="BodyText"/>
        <w:widowControl/>
      </w:pPr>
      <w:r>
        <w:t xml:space="preserve">Справка по итогам четверти помогает директору увидеть учебные результаты и принять решения: кому из обучающихся нужна помощь и по какому умению, какое содержание программы нужно восполнить, где данные учёта неполны и как мы узнаем, что принятые меры помогли. Таблицы, проценты и сравнения работают на эти решения. Поэтому справка строится от фактов к действиям: что есть в журнале, что из этого можно честно посчитать, какие трудности подтверждены, что делаем и когда проверяем результат.</w:t>
      </w:r>
    </w:p>
    <w:p>
      <w:pPr>
        <w:pStyle w:val="BodyText"/>
        <w:widowControl/>
      </w:pPr>
      <w:r>
        <w:t xml:space="preserve">Шаблон (файл 01) и учебный пример (файл 03) построены по одной схеме. Числа в этом руководстве взяты из учебного примера: школа, дети и показатели в нём условные.</w:t>
      </w:r>
    </w:p>
    <w:p>
      <w:pPr>
        <w:pStyle w:val="BodyText"/>
        <w:widowControl/>
      </w:pPr>
      <w:r>
        <w:rPr>
          <w:bCs/>
          <w:b/>
        </w:rPr>
        <w:t xml:space="preserve">О статусе шаблона.</w:t>
      </w:r>
      <w:r>
        <w:t xml:space="preserve"> </w:t>
      </w:r>
      <w:r>
        <w:t xml:space="preserve">Школа обязана организовывать текущий контроль и промежуточную аттестацию, вести индивидуальный учёт результатов и внутреннюю систему оценки качества образования (ст. 28, ч. 3, п. 10, 11 и 13 Федерального закона № 273-ФЗ). Форма такой справки в этих нормах не задана. Шаблон — рабочий вариант, а не федеральная форма. Если положение о внутренней системе оценки качества в вашей школе требует иной структуры, сохраните её, а разделы шаблона используйте как список вопросов, на которые справка должна ответить.</w:t>
      </w:r>
    </w:p>
    <w:bookmarkStart w:id="20" w:name="X8abb59cf7dee61743d34e7f9cd4d04bf91e6e31"/>
    <w:p>
      <w:pPr>
        <w:pStyle w:val="Heading2"/>
        <w:widowControl/>
      </w:pPr>
      <w:r>
        <w:t xml:space="preserve">1. С чего начать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rPr>
          <w:bCs/>
          <w:b/>
        </w:rPr>
        <w:t xml:space="preserve">Зафиксируйте границы.</w:t>
      </w:r>
      <w:r>
        <w:t xml:space="preserve"> </w:t>
      </w:r>
      <w:r>
        <w:t xml:space="preserve">Запишите период, дату среза отметок и численности и дату выгрузки. Журнал продолжает меняться после выгрузки, и без даты цифры потом не сверить.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rPr>
          <w:bCs/>
          <w:b/>
        </w:rPr>
        <w:t xml:space="preserve">Определите, у кого и по каким предметам есть четвертные отметки.</w:t>
      </w:r>
      <w:r>
        <w:t xml:space="preserve"> </w:t>
      </w:r>
      <w:r>
        <w:t xml:space="preserve">Откройте учебный план и школьный порядок оценивания. В учебном примере 1 класс учится без отметок, а 10–11 классы оцениваются по полугодиям. Это форма оценивания, предусмотренная планом, а не нарушение и не отсутствие аттестации. Такие группы записывают в таблицу раздела 2 и в расчёты не включают.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rPr>
          <w:bCs/>
          <w:b/>
        </w:rPr>
        <w:t xml:space="preserve">Соберите движение</w:t>
      </w:r>
      <w:r>
        <w:t xml:space="preserve"> </w:t>
      </w:r>
      <w:r>
        <w:t xml:space="preserve">по приказам о зачислении и выбытии.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rPr>
          <w:bCs/>
          <w:b/>
        </w:rPr>
        <w:t xml:space="preserve">Сделайте выгрузки</w:t>
      </w:r>
      <w:r>
        <w:t xml:space="preserve"> </w:t>
      </w:r>
      <w:r>
        <w:t xml:space="preserve">отметок, посещаемости и проведённых занятий из журнала. Именные списки оставьте в рабочей таблице: в справку идут числа.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rPr>
          <w:bCs/>
          <w:b/>
        </w:rPr>
        <w:t xml:space="preserve">Пишите в таком порядке:</w:t>
      </w:r>
      <w:r>
        <w:t xml:space="preserve"> </w:t>
      </w:r>
      <w:r>
        <w:t xml:space="preserve">сначала расчёты (разделы 3–7), затем затруднения, помощь и действия. Основные выводы стоят в справке первыми, но пишутся последними.</w:t>
      </w:r>
    </w:p>
    <w:p>
      <w:pPr>
        <w:pStyle w:val="FirstParagraph"/>
        <w:widowControl/>
      </w:pPr>
      <w:r>
        <w:t xml:space="preserve">Не все разделы обязательны для каждой четверти. Если подтверждённых затруднений нет, напишите в разделе 5 одну строку: «Затруднений, подтверждённых данными, в четверти не выявлено» — и уберите пустую таблицу. Если программы не проверялись, так и скажите в разделе 6. Запись «нет данных» честнее домысла.</w:t>
      </w:r>
    </w:p>
    <w:bookmarkEnd w:id="20"/>
    <w:bookmarkStart w:id="21" w:name="Xb036167af00b2849941b09c220b5c899ea75035"/>
    <w:p>
      <w:pPr>
        <w:pStyle w:val="Heading2"/>
        <w:widowControl/>
      </w:pPr>
      <w:r>
        <w:t xml:space="preserve">2. Кто входит в какой расчёт</w:t>
      </w:r>
    </w:p>
    <w:p>
      <w:pPr>
        <w:pStyle w:val="FirstParagraph"/>
        <w:widowControl/>
      </w:pPr>
      <w:r>
        <w:t xml:space="preserve">Отметки, посещаемость и движение считают по разным группам, поэтому числа в таблицах могут различаться. Это различие нужно объяснить группами расчёта, а не подгонять числа.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782"/>
        <w:gridCol w:w="3770"/>
        <w:gridCol w:w="3802"/>
      </w:tblGrid>
      <w:tr>
        <w:trPr>
          <w:tblHeader w:val="true"/>
          <w:tblHeader w:val="true"/>
          <w:cantSplit/>
        </w:trPr>
        <w:tc>
          <w:tcPr>
            <w:tcW w:type="dxa" w:w="1782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Что считаем</w:t>
            </w:r>
          </w:p>
        </w:tc>
        <w:tc>
          <w:tcPr>
            <w:tcW w:type="dxa" w:w="377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Кто входит</w:t>
            </w:r>
          </w:p>
        </w:tc>
        <w:tc>
          <w:tcPr>
            <w:tcW w:type="dxa" w:w="3802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Учебный пример</w:t>
            </w:r>
          </w:p>
        </w:tc>
      </w:tr>
      <w:tr>
        <w:trPr>
          <w:cantSplit/>
        </w:trPr>
        <w:tc>
          <w:tcPr>
            <w:tcW w:type="dxa" w:w="178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Отметки и полнота данных</w:t>
            </w:r>
          </w:p>
        </w:tc>
        <w:tc>
          <w:tcPr>
            <w:tcW w:type="dxa" w:w="37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Обучающиеся, числящиеся на дату среза</w:t>
            </w:r>
          </w:p>
        </w:tc>
        <w:tc>
          <w:tcPr>
            <w:tcW w:type="dxa" w:w="380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200 обучающихся 2–9 классов на 23.10.2026</w:t>
            </w:r>
          </w:p>
        </w:tc>
      </w:tr>
      <w:tr>
        <w:trPr>
          <w:cantSplit/>
        </w:trPr>
        <w:tc>
          <w:tcPr>
            <w:tcW w:type="dxa" w:w="178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Посещаемость</w:t>
            </w:r>
          </w:p>
        </w:tc>
        <w:tc>
          <w:tcPr>
            <w:tcW w:type="dxa" w:w="37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Все, кто учился в этих классах хотя бы часть периода, за дни своего обучения</w:t>
            </w:r>
          </w:p>
        </w:tc>
        <w:tc>
          <w:tcPr>
            <w:tcW w:type="dxa" w:w="380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202 обучающихся: 198 на начало и 4 прибывших; двое выбывших учтены до выбытия</w:t>
            </w:r>
          </w:p>
        </w:tc>
      </w:tr>
      <w:tr>
        <w:trPr>
          <w:cantSplit/>
        </w:trPr>
        <w:tc>
          <w:tcPr>
            <w:tcW w:type="dxa" w:w="178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Движение</w:t>
            </w:r>
          </w:p>
        </w:tc>
        <w:tc>
          <w:tcPr>
            <w:tcW w:type="dxa" w:w="37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Начало + прибыло − выбыло = конец</w:t>
            </w:r>
          </w:p>
        </w:tc>
        <w:tc>
          <w:tcPr>
            <w:tcW w:type="dxa" w:w="380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198 + 4 − 2 = 200</w:t>
            </w:r>
          </w:p>
        </w:tc>
      </w:tr>
    </w:tbl>
    <w:p>
      <w:pPr>
        <w:pStyle w:val="BodyText"/>
        <w:widowControl/>
      </w:pPr>
      <w:r>
        <w:t xml:space="preserve">Выбывший шестиклассник попадает в посещаемость, но не в отметки на дату среза. Число 198 в примере встречается дважды — как численность на начало четверти и как число обучающихся с полным комплектом отметок. Это разные группы, совпавшие случайно.</w:t>
      </w:r>
    </w:p>
    <w:bookmarkEnd w:id="21"/>
    <w:bookmarkStart w:id="28" w:name="Xf5f7c6405dedf3d1da98d70f316532ce0c136f8"/>
    <w:p>
      <w:pPr>
        <w:pStyle w:val="Heading2"/>
        <w:widowControl/>
      </w:pPr>
      <w:r>
        <w:t xml:space="preserve">3. Четвертные отметки: порядок расчёта</w:t>
      </w:r>
    </w:p>
    <w:bookmarkStart w:id="22" w:name="X6ba71569ab1ba93cfd1522b35102716bbc94bb7"/>
    <w:p>
      <w:pPr>
        <w:pStyle w:val="Heading3"/>
        <w:widowControl/>
      </w:pPr>
      <w:r>
        <w:t xml:space="preserve">Перечень предметов, полный комплект и отсутствующие отметки</w:t>
      </w:r>
    </w:p>
    <w:p>
      <w:pPr>
        <w:pStyle w:val="FirstParagraph"/>
        <w:widowControl/>
      </w:pPr>
      <w:r>
        <w:t xml:space="preserve">Перечень определите до расчёта. В комплект входят предметы, по которым за эту четверть предусмотрена пятибалльная четвертная отметка; перечень берут из учебного плана и школьного порядка оценивания и называют в разделе 2 справки. Результаты по предметам с зачётом, уровнями или баллами в комплект не включайте и в «2–5» не переводите: опишите их отдельно, по их собственной шкале. В учебном примере весь перечень 2–9 классов оценивается по пятибалльной шкале, предметов с иной шкалой в нём нет.</w:t>
      </w:r>
    </w:p>
    <w:p>
      <w:pPr>
        <w:pStyle w:val="BodyText"/>
        <w:widowControl/>
      </w:pPr>
      <w:r>
        <w:t xml:space="preserve">Полным считается комплект, в котором есть четвертная отметка по каждому предмету этого перечня, предусмотренному для обучающегося. Отсутствующая отметка — не «0» и не «2». Узнайте причину: длительное отсутствие, прибытие из другой школы, предмет ещё не оценён. От причины зависит действие.</w:t>
      </w:r>
    </w:p>
    <w:p>
      <w:pPr>
        <w:pStyle w:val="BodyText"/>
        <w:widowControl/>
      </w:pPr>
      <w:r>
        <w:t xml:space="preserve">Обучающийся без полного комплекта не входит в расчёт долей, но и не исчезает: он учтён в строке «без полного комплекта». Если у него уже известна «2», он попадает в отдельный перечень обучающихся, которым нужна помощь: скрыть известную двойку только потому, что по другому предмету отметки ещё нет, нельзя. В учебном примере неполных комплектов два; известная «2» (по алгебре) есть у одного из этих двух — обучающегося, прибывшего в 7 класс.</w:t>
      </w:r>
    </w:p>
    <w:bookmarkEnd w:id="22"/>
    <w:bookmarkStart w:id="23" w:name="четыре-категории-без-пересечений"/>
    <w:p>
      <w:pPr>
        <w:pStyle w:val="Heading3"/>
        <w:widowControl/>
      </w:pPr>
      <w:r>
        <w:t xml:space="preserve">Четыре категории без пересечений</w:t>
      </w:r>
    </w:p>
    <w:p>
      <w:pPr>
        <w:pStyle w:val="FirstParagraph"/>
        <w:widowControl/>
      </w:pPr>
      <w:r>
        <w:t xml:space="preserve">Среди обучающихся с полным комплектом выделите: только «5»; «4» и «5», но не только «5»; есть «3», нет «2»; есть хотя бы одна «2». Сумма четырёх чисел должна равняться числу обучающихся с полным комплектом (в примере 22 + 74 + 94 + 8 = 198). Если не сходится, где-то есть пересечение или потерянный обучающийся.</w:t>
      </w:r>
    </w:p>
    <w:bookmarkEnd w:id="23"/>
    <w:bookmarkStart w:id="24" w:name="показатели"/>
    <w:p>
      <w:pPr>
        <w:pStyle w:val="Heading3"/>
        <w:widowControl/>
      </w:pPr>
      <w:r>
        <w:t xml:space="preserve">Показатели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046"/>
        <w:gridCol w:w="4940"/>
        <w:gridCol w:w="2368"/>
      </w:tblGrid>
      <w:tr>
        <w:trPr>
          <w:tblHeader w:val="true"/>
          <w:tblHeader w:val="true"/>
          <w:cantSplit/>
        </w:trPr>
        <w:tc>
          <w:tcPr>
            <w:tcW w:type="dxa" w:w="204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Показатель</w:t>
            </w:r>
          </w:p>
        </w:tc>
        <w:tc>
          <w:tcPr>
            <w:tcW w:type="dxa" w:w="494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Как считать</w:t>
            </w:r>
          </w:p>
        </w:tc>
        <w:tc>
          <w:tcPr>
            <w:tcW w:type="dxa" w:w="236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Пример (2–9 классы)</w:t>
            </w:r>
          </w:p>
        </w:tc>
      </w:tr>
      <w:tr>
        <w:trPr>
          <w:cantSplit/>
        </w:trPr>
        <w:tc>
          <w:tcPr>
            <w:tcW w:type="dxa" w:w="20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Охват данными</w:t>
            </w:r>
          </w:p>
        </w:tc>
        <w:tc>
          <w:tcPr>
            <w:tcW w:type="dxa" w:w="49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Обучающиеся с полным комплектом ÷ обучающиеся на дату среза × 100 %</w:t>
            </w:r>
          </w:p>
        </w:tc>
        <w:tc>
          <w:tcPr>
            <w:tcW w:type="dxa" w:w="23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198 ÷ 200 × 100 % = 99,0 %</w:t>
            </w:r>
          </w:p>
        </w:tc>
      </w:tr>
      <w:tr>
        <w:trPr>
          <w:cantSplit/>
        </w:trPr>
        <w:tc>
          <w:tcPr>
            <w:tcW w:type="dxa" w:w="20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Успеваемость</w:t>
            </w:r>
          </w:p>
        </w:tc>
        <w:tc>
          <w:tcPr>
            <w:tcW w:type="dxa" w:w="49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Обучающиеся без «2» ÷ обучающиеся с полным комплектом × 100 %</w:t>
            </w:r>
          </w:p>
        </w:tc>
        <w:tc>
          <w:tcPr>
            <w:tcW w:type="dxa" w:w="23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190 ÷ 198 × 100 % = 96,0 %</w:t>
            </w:r>
          </w:p>
        </w:tc>
      </w:tr>
      <w:tr>
        <w:trPr>
          <w:cantSplit/>
        </w:trPr>
        <w:tc>
          <w:tcPr>
            <w:tcW w:type="dxa" w:w="20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Качество</w:t>
            </w:r>
          </w:p>
        </w:tc>
        <w:tc>
          <w:tcPr>
            <w:tcW w:type="dxa" w:w="49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Обучающиеся только с «4» и «5» (включая только «5») ÷ обучающиеся с полным комплектом × 100 %</w:t>
            </w:r>
          </w:p>
        </w:tc>
        <w:tc>
          <w:tcPr>
            <w:tcW w:type="dxa" w:w="23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96 ÷ 198 × 100 % = 48,5 %</w:t>
            </w:r>
          </w:p>
        </w:tc>
      </w:tr>
      <w:tr>
        <w:trPr>
          <w:cantSplit/>
        </w:trPr>
        <w:tc>
          <w:tcPr>
            <w:tcW w:type="dxa" w:w="20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Доля пропущенных уроков</w:t>
            </w:r>
          </w:p>
        </w:tc>
        <w:tc>
          <w:tcPr>
            <w:tcW w:type="dxa" w:w="49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Пропущено ученико-уроков ÷ ученико-уроков в базе × 100 %</w:t>
            </w:r>
          </w:p>
        </w:tc>
        <w:tc>
          <w:tcPr>
            <w:tcW w:type="dxa" w:w="23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2 260 ÷ 45 200 × 100 % = 5,0 %</w:t>
            </w:r>
          </w:p>
        </w:tc>
      </w:tr>
      <w:tr>
        <w:trPr>
          <w:cantSplit/>
        </w:trPr>
        <w:tc>
          <w:tcPr>
            <w:tcW w:type="dxa" w:w="20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Изменение доли</w:t>
            </w:r>
          </w:p>
        </w:tc>
        <w:tc>
          <w:tcPr>
            <w:tcW w:type="dxa" w:w="49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Разность двух процентов, в процентных пунктах</w:t>
            </w:r>
          </w:p>
        </w:tc>
        <w:tc>
          <w:tcPr>
            <w:tcW w:type="dxa" w:w="23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48,5 − 50,0 = −1,5 п. п.</w:t>
            </w:r>
          </w:p>
        </w:tc>
      </w:tr>
    </w:tbl>
    <w:p>
      <w:pPr>
        <w:pStyle w:val="BodyText"/>
        <w:widowControl/>
      </w:pPr>
      <w:r>
        <w:t xml:space="preserve">Так определены показатели в этой справке. Это выбранная методика, а не единственный возможный или обязательный для всех школ расчёт. Если у вас принята другая методика, запишите определение в справке и держитесь его во всех таблицах.</w:t>
      </w:r>
    </w:p>
    <w:bookmarkEnd w:id="24"/>
    <w:bookmarkStart w:id="25" w:name="правила-расчёта"/>
    <w:p>
      <w:pPr>
        <w:pStyle w:val="Heading3"/>
        <w:widowControl/>
      </w:pPr>
      <w:r>
        <w:t xml:space="preserve">Правила расчёта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Общую долю считайте из сумм</w:t>
      </w:r>
      <w:r>
        <w:t xml:space="preserve">, а не как среднее по классам. В примере качество в 2–4 классах 54,7 %, в 5–9 классах 44,7 %. Среднее двух чисел даёт 49,7 %, а верный результат — 96 ÷ 198 = 48,5 %.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Округляйте только итог</w:t>
      </w:r>
      <w:r>
        <w:t xml:space="preserve">, до десятых. Промежуточные значения не округляйте.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Нулевой знаменатель</w:t>
      </w:r>
      <w:r>
        <w:t xml:space="preserve"> </w:t>
      </w:r>
      <w:r>
        <w:t xml:space="preserve">— «не рассчитывается» (в группе нет обучающихся с полным комплектом).</w:t>
      </w:r>
      <w:r>
        <w:t xml:space="preserve"> </w:t>
      </w:r>
      <w:r>
        <w:rPr>
          <w:bCs/>
          <w:b/>
        </w:rPr>
        <w:t xml:space="preserve">Неизвестные данные</w:t>
      </w:r>
      <w:r>
        <w:t xml:space="preserve"> </w:t>
      </w:r>
      <w:r>
        <w:t xml:space="preserve">— «нет данных». Ноль пишут, только если посчитали и получили ноль.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Проценты и процентные пункты — разные вещи.</w:t>
      </w:r>
      <w:r>
        <w:t xml:space="preserve"> </w:t>
      </w:r>
      <w:r>
        <w:t xml:space="preserve">Снижение с 50,0 % до 48,5 % составляет 1,5 процентного пункта, а не 1,5 %.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Обучающийся с несколькими «2»</w:t>
      </w:r>
      <w:r>
        <w:t xml:space="preserve"> </w:t>
      </w:r>
      <w:r>
        <w:t xml:space="preserve">в числе детей считается один раз; число неудовлетворительных предметных результатов считают отдельно. В примере 9 обучающихся и 10 результатов.</w:t>
      </w:r>
    </w:p>
    <w:p>
      <w:pPr>
        <w:widowControl/>
        <w:numPr>
          <w:ilvl w:val="0"/>
          <w:numId w:val="1002"/>
        </w:numPr>
        <w:pStyle w:val="Compact"/>
        <w:jc w:val="left"/>
      </w:pPr>
      <w:r>
        <w:rPr>
          <w:bCs/>
          <w:b/>
        </w:rPr>
        <w:t xml:space="preserve">Не подставляйте 9 или 10 вместо 8 в формулу успеваемости.</w:t>
      </w:r>
      <w:r>
        <w:t xml:space="preserve"> </w:t>
      </w:r>
      <w:r>
        <w:t xml:space="preserve">В неё входят только обучающиеся с полным комплектом; из девяти обучающихся с «2» таких восемь.</w:t>
      </w:r>
    </w:p>
    <w:bookmarkEnd w:id="25"/>
    <w:bookmarkStart w:id="26" w:name="группы-без-отметок"/>
    <w:p>
      <w:pPr>
        <w:pStyle w:val="Heading3"/>
        <w:widowControl/>
      </w:pPr>
      <w:r>
        <w:t xml:space="preserve">Группы без отметок</w:t>
      </w:r>
    </w:p>
    <w:p>
      <w:pPr>
        <w:pStyle w:val="FirstParagraph"/>
        <w:widowControl/>
      </w:pPr>
      <w:r>
        <w:t xml:space="preserve">Безотметочное обучение и полугодовое оценивание не называйте нарушением. Группы, у которых по учебному плану нет четвертных отметок (в примере 1, 10 и 11 классы), целиком выводятся из расчётов и описываются в разделе 2. Предметы с иной шкалой внутри класса, где четвертные отметки есть, рассматриваются отдельно по правилу, записанному в разделе 2 до расчёта.</w:t>
      </w:r>
    </w:p>
    <w:bookmarkEnd w:id="26"/>
    <w:bookmarkStart w:id="27" w:name="сравнение-с-прошлым-периодом"/>
    <w:p>
      <w:pPr>
        <w:pStyle w:val="Heading3"/>
        <w:widowControl/>
      </w:pPr>
      <w:r>
        <w:t xml:space="preserve">Сравнение с прошлым периодом</w:t>
      </w:r>
    </w:p>
    <w:p>
      <w:pPr>
        <w:pStyle w:val="FirstParagraph"/>
        <w:widowControl/>
      </w:pPr>
      <w:r>
        <w:t xml:space="preserve">Сравнивайте одинаковые периоды и одинаковые наборы классов и проверьте, есть ли различия в составе; если есть, назовите их: в примере изменились дети, предметы при переходе из класса в класс и полнота данных (200 из 200 в прошлом году, 198 из 200 сейчас). Снижение на 1,5 процентного пункта в общей сводке — повод посмотреть конкретные задания. Выводить из него, что дети стали знать хуже, или оценивать по нему учителей нельзя.</w:t>
      </w:r>
    </w:p>
    <w:bookmarkEnd w:id="27"/>
    <w:bookmarkEnd w:id="28"/>
    <w:bookmarkStart w:id="29" w:name="X86dd1b66770d130ea1d46f8cc1815c298fb71b0"/>
    <w:p>
      <w:pPr>
        <w:pStyle w:val="Heading2"/>
        <w:widowControl/>
      </w:pPr>
      <w:r>
        <w:t xml:space="preserve">4. Четвертная «2» и академическая задолженность</w:t>
      </w:r>
    </w:p>
    <w:p>
      <w:pPr>
        <w:pStyle w:val="FirstParagraph"/>
        <w:widowControl/>
      </w:pPr>
      <w:r>
        <w:t xml:space="preserve">Это разные статусы. Академическая задолженность — неудовлетворительный результат промежуточной аттестации по предмету либо непрохождение промежуточной аттестации без уважительных причин (ст. 58, ч. 1–2 Федерального закона № 273-ФЗ). Четвертная отметка является результатом промежуточной аттестации, только если так определено в учебном плане и порядке оценивания вашей школы. В учебном примере промежуточная аттестация проводится по итогам года, а четвертные отметки — результат текущего контроля. Поэтому задолженность по ним не устанавливается, а «2» означает, что обучающемуся нужна учебная помощь. Сама запись об отсутствии отметки задолженности не означает; если же речь о непрохождении промежуточной аттестации без уважительной причины, действует часть 2 статьи 58.</w:t>
      </w:r>
    </w:p>
    <w:p>
      <w:pPr>
        <w:pStyle w:val="BodyText"/>
        <w:widowControl/>
      </w:pPr>
      <w:r>
        <w:t xml:space="preserve">Если четвертная отметка у вас входит в промежуточную аттестацию, справка статус не присваивает: к результату применяются статья 58 закона и принятый в её рамках порядок школы. Если это текущий контроль, организуются учебная помощь и оценивание по школьным правилам. Процедуру ликвидации задолженности эта инструкция не описывает.</w:t>
      </w:r>
    </w:p>
    <w:bookmarkEnd w:id="29"/>
    <w:bookmarkStart w:id="30" w:name="X1bae1d4dd3e4cc7d8e7d920da72bcf74135e335"/>
    <w:p>
      <w:pPr>
        <w:pStyle w:val="Heading2"/>
        <w:widowControl/>
      </w:pPr>
      <w:r>
        <w:t xml:space="preserve">5. Конкретное затруднение вместо общего процента</w:t>
      </w:r>
    </w:p>
    <w:p>
      <w:pPr>
        <w:pStyle w:val="FirstParagraph"/>
        <w:widowControl/>
      </w:pPr>
      <w:r>
        <w:t xml:space="preserve">Процент показывает, что где-то трудно, но не говорит, чему учить. Помощь обучающимся с «2» не откладывают до полного анализа: учитель может начать с их работ уже сейчас. Содержание помощи выбирают по конкретным работам.</w:t>
      </w:r>
    </w:p>
    <w:p>
      <w:pPr>
        <w:widowControl/>
        <w:numPr>
          <w:ilvl w:val="0"/>
          <w:numId w:val="1003"/>
        </w:numPr>
        <w:pStyle w:val="Compact"/>
        <w:jc w:val="left"/>
      </w:pPr>
      <w:r>
        <w:t xml:space="preserve">Возьмите работу, которая уже была: контрольную или обычное задание. Новую работу ради справки не назначайте.</w:t>
      </w:r>
    </w:p>
    <w:p>
      <w:pPr>
        <w:widowControl/>
        <w:numPr>
          <w:ilvl w:val="0"/>
          <w:numId w:val="1003"/>
        </w:numPr>
        <w:pStyle w:val="Compact"/>
        <w:jc w:val="left"/>
      </w:pPr>
      <w:r>
        <w:t xml:space="preserve">Запишите класс и предмет, умение, задание и дату, число участников и число допустивших ошибку, а также кто проверил критерии. Не писавших работу не считайте ошибившимися и не ставьте им ноль: отметьте их отдельно.</w:t>
      </w:r>
    </w:p>
    <w:p>
      <w:pPr>
        <w:widowControl/>
        <w:numPr>
          <w:ilvl w:val="0"/>
          <w:numId w:val="1003"/>
        </w:numPr>
        <w:pStyle w:val="Compact"/>
        <w:jc w:val="left"/>
      </w:pPr>
      <w:r>
        <w:t xml:space="preserve">Разделяйте установленное и то, что ещё нужно проверить. «Девять из 23 участников ошиблись при раскрытии скобок» — установлено. Почему так вышло — неизвестно. Если данных не хватает, запишите, какого именно знания недостаёт (например, встречается ли та же ошибка в других работах этих обучающихся) и по каким заданиям вы это узнаете. Причину ради заполнения строки не придумывайте. Устранение одной ошибки не доказывает причину всех четвертных результатов ребёнка.</w:t>
      </w:r>
    </w:p>
    <w:p>
      <w:pPr>
        <w:widowControl/>
        <w:numPr>
          <w:ilvl w:val="0"/>
          <w:numId w:val="1003"/>
        </w:numPr>
        <w:pStyle w:val="Compact"/>
        <w:jc w:val="left"/>
      </w:pPr>
      <w:r>
        <w:t xml:space="preserve">Одну тройку или четвёрку не объявляйте недостатком работы учителя. Для вывода нужна повторяющаяся ошибка в понятном задании.</w:t>
      </w:r>
    </w:p>
    <w:bookmarkEnd w:id="30"/>
    <w:bookmarkStart w:id="33" w:name="X7458be9762c598fbc25f075a9fb23d14d512235"/>
    <w:p>
      <w:pPr>
        <w:pStyle w:val="Heading2"/>
        <w:widowControl/>
      </w:pPr>
      <w:r>
        <w:t xml:space="preserve">6. Программы и посещаемость</w:t>
      </w:r>
    </w:p>
    <w:bookmarkStart w:id="31" w:name="выполнение-программ"/>
    <w:p>
      <w:pPr>
        <w:pStyle w:val="Heading3"/>
        <w:widowControl/>
      </w:pPr>
      <w:r>
        <w:t xml:space="preserve">Выполнение программ</w:t>
      </w:r>
    </w:p>
    <w:p>
      <w:pPr>
        <w:pStyle w:val="FirstParagraph"/>
        <w:widowControl/>
      </w:pPr>
      <w:r>
        <w:t xml:space="preserve">Сравните план и факт: сколько занятий предусмотрено графиком к дате среза, сколько проведено, какое содержание не проведено и по какому документу это видно. Замена часов не равна выполнению программы: смотрите на тему. Отменённый урок зафиксируйте с причиной по документам (в примере — отсутствие педагога по журналу замен).</w:t>
      </w:r>
    </w:p>
    <w:p>
      <w:pPr>
        <w:pStyle w:val="BodyText"/>
        <w:widowControl/>
      </w:pPr>
      <w:r>
        <w:t xml:space="preserve">Пишите ровно то, что проверили. В примере проверен 5 класс по математике; выводов о выполнении программ во всей школе справка не делает. Условия работы — замены педагогов, доступность помощи, адаптацию — упоминайте только в связи с подтверждённой проблемой: отсутствие педагога, подтверждённое журналом замен, объясняет два непроведённых занятия в 5 классе, но ничего не объясняет про двойки в 7 классе.</w:t>
      </w:r>
    </w:p>
    <w:bookmarkEnd w:id="31"/>
    <w:bookmarkStart w:id="32" w:name="посещаемость"/>
    <w:p>
      <w:pPr>
        <w:pStyle w:val="Heading3"/>
        <w:widowControl/>
      </w:pPr>
      <w:r>
        <w:t xml:space="preserve">Посещаемость</w:t>
      </w:r>
    </w:p>
    <w:p>
      <w:pPr>
        <w:pStyle w:val="FirstParagraph"/>
        <w:widowControl/>
      </w:pPr>
      <w:r>
        <w:t xml:space="preserve">Единица учёта — пропуск одним обучающимся одного урока. База — проведённые уроки, которые обучающиеся должны были посетить, пока учились в школе, с учётом дат зачисления, выбытия и индивидуального расписания. Отменённые уроки базу не увеличивают и пропусками не становятся.</w:t>
      </w:r>
    </w:p>
    <w:p>
      <w:pPr>
        <w:pStyle w:val="BodyText"/>
        <w:widowControl/>
      </w:pPr>
      <w:r>
        <w:t xml:space="preserve">Причины не пересекаются: каждый пропуск относится к одной группе, а сумма групп равна общему числу пропусков (в примере 1 700 + 400 + 100 + 60 = 2 260). Пропуски с неустановленной причиной выделяйте отдельно и не называйте прогулами. Число пропущенных дней не складывайте с уроками.</w:t>
      </w:r>
    </w:p>
    <w:p>
      <w:pPr>
        <w:pStyle w:val="BodyText"/>
        <w:widowControl/>
      </w:pPr>
      <w:r>
        <w:t xml:space="preserve">Доля 5,0 % — это 2 260 ÷ 45 200. Делить на число обучающихся (200) или на число уроков одного класса нельзя.</w:t>
      </w:r>
    </w:p>
    <w:bookmarkEnd w:id="32"/>
    <w:bookmarkEnd w:id="33"/>
    <w:bookmarkStart w:id="34" w:name="X126fa45f8d39bdca9efc4541a0aa23dcfa37162"/>
    <w:p>
      <w:pPr>
        <w:pStyle w:val="Heading2"/>
        <w:widowControl/>
      </w:pPr>
      <w:r>
        <w:t xml:space="preserve">7. От вывода к действию</w:t>
      </w:r>
    </w:p>
    <w:p>
      <w:pPr>
        <w:pStyle w:val="FirstParagraph"/>
        <w:widowControl/>
      </w:pPr>
      <w:r>
        <w:t xml:space="preserve">Раздел 9 шаблона — готовый набор из шести записей для типичных ситуаций: 1 — недостающие четвертные результаты; 2 — разбор подтверждённого затруднения; 3 — помощь обучающимся с четвертной «2»; 4 — непроведённые занятия; 5 — причины пропусков; 6 — продолжение уже начатой помощи. Оставьте те записи, которые соответствуют выводам вашей справки, и пересчитайте номера и число действий в выводе 6 раздела 1. Если однотипных ситуаций несколько (затруднения в двух классах), повторите запись для каждой. Запись 3 нужна при любой известной четвертной «2»: она охватывает всех обучающихся с «2», а запись 2 описывает разбор одного общего приёма и её не заменяет. Если ничего не выявлено, действие не придумывайте.</w:t>
      </w:r>
    </w:p>
    <w:p>
      <w:pPr>
        <w:pStyle w:val="BodyText"/>
        <w:widowControl/>
      </w:pPr>
      <w:r>
        <w:t xml:space="preserve">Каждое действие записывают так: что сделать, кто отвечает, к какому сроку, чем проверим результат, что делаем, если улучшения нет. Новый еженедельный отчёт, журнал или папку для каждого учителя не заводите: результат проверяют по обычным заданиям, журналу проведённых уроков и записям, которые уже ведутся. Предложения в справке — ещё не поручения. Они становятся поручениями после решения директора в той форме, которая принята у вас (приказ, протокол совещания, резолюция). Даты действий ставьте после даты справки, а общую точку проверки — через две-три недели, например 20.11.2026.</w:t>
      </w:r>
    </w:p>
    <w:p>
      <w:pPr>
        <w:pStyle w:val="BodyText"/>
        <w:widowControl/>
      </w:pPr>
      <w:r>
        <w:t xml:space="preserve">Ниже три примера цепочки «показатель → вывод → действие → проверка». Если помощь уже оказывалась (в примере — табличное умножение в 3 классе), опишите её в разделе 8 и продолжите записью 6: результат проверки по обычным заданиям показал, у кого ошибка ушла, а у кого сохраняется.</w:t>
      </w:r>
    </w:p>
    <w:p>
      <w:pPr>
        <w:pStyle w:val="BodyText"/>
        <w:widowControl/>
      </w:pPr>
      <w:r>
        <w:rPr>
          <w:bCs/>
          <w:b/>
        </w:rPr>
        <w:t xml:space="preserve">Пример 1. Раскрытие скобок, 7 класс, алгебра</w:t>
      </w:r>
    </w:p>
    <w:p>
      <w:pPr>
        <w:widowControl/>
        <w:numPr>
          <w:ilvl w:val="0"/>
          <w:numId w:val="1004"/>
        </w:numPr>
        <w:pStyle w:val="Compact"/>
        <w:jc w:val="left"/>
      </w:pPr>
      <w:r>
        <w:rPr>
          <w:iCs/>
          <w:i/>
        </w:rPr>
        <w:t xml:space="preserve">Показатель.</w:t>
      </w:r>
      <w:r>
        <w:t xml:space="preserve"> </w:t>
      </w:r>
      <w:r>
        <w:t xml:space="preserve">В работе 16.10.2026 ошибку раскрытия скобок допустили 9 из 23 участников (39,1 %); среди них четверо обучающихся с четвертной «2» по алгебре или геометрии.</w:t>
      </w:r>
    </w:p>
    <w:p>
      <w:pPr>
        <w:widowControl/>
        <w:numPr>
          <w:ilvl w:val="0"/>
          <w:numId w:val="1004"/>
        </w:numPr>
        <w:pStyle w:val="Compact"/>
        <w:jc w:val="left"/>
      </w:pPr>
      <w:r>
        <w:rPr>
          <w:iCs/>
          <w:i/>
        </w:rPr>
        <w:t xml:space="preserve">Вывод.</w:t>
      </w:r>
      <w:r>
        <w:t xml:space="preserve"> </w:t>
      </w:r>
      <w:r>
        <w:t xml:space="preserve">Подтверждено затруднение в одном приёме. Объясняет ли оно все четвертные результаты этих четверых, неизвестно: нужно посмотреть их другие работы.</w:t>
      </w:r>
    </w:p>
    <w:p>
      <w:pPr>
        <w:widowControl/>
        <w:numPr>
          <w:ilvl w:val="0"/>
          <w:numId w:val="1004"/>
        </w:numPr>
        <w:pStyle w:val="Compact"/>
        <w:jc w:val="left"/>
      </w:pPr>
      <w:r>
        <w:rPr>
          <w:iCs/>
          <w:i/>
        </w:rPr>
        <w:t xml:space="preserve">Действие.</w:t>
      </w:r>
      <w:r>
        <w:t xml:space="preserve"> </w:t>
      </w:r>
      <w:r>
        <w:t xml:space="preserve">Учитель математики разбирает приём на обычных уроках 02–06.11.2026 и даёт адресные задания ошибившимся. Двое, не писавшие работу, выполняют такое же задание позже, их результат фиксируется отдельно.</w:t>
      </w:r>
    </w:p>
    <w:p>
      <w:pPr>
        <w:widowControl/>
        <w:numPr>
          <w:ilvl w:val="0"/>
          <w:numId w:val="1004"/>
        </w:numPr>
        <w:pStyle w:val="Compact"/>
        <w:jc w:val="left"/>
      </w:pPr>
      <w:r>
        <w:rPr>
          <w:iCs/>
          <w:i/>
        </w:rPr>
        <w:t xml:space="preserve">Проверка.</w:t>
      </w:r>
      <w:r>
        <w:t xml:space="preserve"> </w:t>
      </w:r>
      <w:r>
        <w:t xml:space="preserve">До 13.11.2026 по обычным заданиям на преобразование выражений наблюдаем за теми же девятью обучающимися: сколько из них выполняли повторное задание и у скольких прежняя ошибка сохранилась. Не выполнявших задание улучшившими результат не считаем, исходные 9 из 23 не пересчитываем. Тем, у кого ошибка остаётся, учитель и руководитель методического объединения меняют упражнения, даже если остальным стало лучше; повторная проверка до 20.11.2026.</w:t>
      </w:r>
    </w:p>
    <w:p>
      <w:pPr>
        <w:pStyle w:val="FirstParagraph"/>
        <w:widowControl/>
      </w:pPr>
      <w:r>
        <w:rPr>
          <w:bCs/>
          <w:b/>
        </w:rPr>
        <w:t xml:space="preserve">Пример 2. Четвертные «2» в 4–8 классах</w:t>
      </w:r>
    </w:p>
    <w:p>
      <w:pPr>
        <w:widowControl/>
        <w:numPr>
          <w:ilvl w:val="0"/>
          <w:numId w:val="1005"/>
        </w:numPr>
        <w:pStyle w:val="Compact"/>
        <w:jc w:val="left"/>
      </w:pPr>
      <w:r>
        <w:rPr>
          <w:iCs/>
          <w:i/>
        </w:rPr>
        <w:t xml:space="preserve">Показатель.</w:t>
      </w:r>
      <w:r>
        <w:t xml:space="preserve"> </w:t>
      </w:r>
      <w:r>
        <w:t xml:space="preserve">Девять обучающихся с хотя бы одной «2» и десять неудовлетворительных предметных результатов; в расчёт успеваемости входят восемь из девяти (у девятого комплект неполный).</w:t>
      </w:r>
    </w:p>
    <w:p>
      <w:pPr>
        <w:widowControl/>
        <w:numPr>
          <w:ilvl w:val="0"/>
          <w:numId w:val="1005"/>
        </w:numPr>
        <w:pStyle w:val="Compact"/>
        <w:jc w:val="left"/>
      </w:pPr>
      <w:r>
        <w:rPr>
          <w:iCs/>
          <w:i/>
        </w:rPr>
        <w:t xml:space="preserve">Вывод.</w:t>
      </w:r>
      <w:r>
        <w:t xml:space="preserve"> </w:t>
      </w:r>
      <w:r>
        <w:t xml:space="preserve">Одна «2» не говорит, какого умения не хватает и чем вызвана; причины по самой отметке не определить, их выясняют по работам каждого обучающегося. Обучающегося с неполным комплектом из помощи исключать нельзя.</w:t>
      </w:r>
    </w:p>
    <w:p>
      <w:pPr>
        <w:widowControl/>
        <w:numPr>
          <w:ilvl w:val="0"/>
          <w:numId w:val="1005"/>
        </w:numPr>
        <w:pStyle w:val="Compact"/>
        <w:jc w:val="left"/>
      </w:pPr>
      <w:r>
        <w:rPr>
          <w:iCs/>
          <w:i/>
        </w:rPr>
        <w:t xml:space="preserve">Действие.</w:t>
      </w:r>
      <w:r>
        <w:t xml:space="preserve"> </w:t>
      </w:r>
      <w:r>
        <w:t xml:space="preserve">По работам каждого обучающегося учитель предмета определяет одно-два умения и форму помощи в рамках расписания; координатор — заместитель директора по УВР. Выбор — до 06.11.2026. Помощь по раскрытию скобок (пример 1) здесь не дублируется.</w:t>
      </w:r>
    </w:p>
    <w:p>
      <w:pPr>
        <w:widowControl/>
        <w:numPr>
          <w:ilvl w:val="0"/>
          <w:numId w:val="1005"/>
        </w:numPr>
        <w:pStyle w:val="Compact"/>
        <w:jc w:val="left"/>
      </w:pPr>
      <w:r>
        <w:rPr>
          <w:iCs/>
          <w:i/>
        </w:rPr>
        <w:t xml:space="preserve">Проверка.</w:t>
      </w:r>
      <w:r>
        <w:t xml:space="preserve"> </w:t>
      </w:r>
      <w:r>
        <w:t xml:space="preserve">До 19.11.2026 по обычным заданиям ближайших уроков на выбранное умение. Сама помощь четвертную отметку не меняет; если обнаружится ошибка оценивания, её исправляют по школьному порядку. Если трудность сохраняется, меняют форму или объём помощи, повторная проверка до 27.11.2026.</w:t>
      </w:r>
    </w:p>
    <w:p>
      <w:pPr>
        <w:pStyle w:val="FirstParagraph"/>
        <w:widowControl/>
      </w:pPr>
      <w:r>
        <w:rPr>
          <w:bCs/>
          <w:b/>
        </w:rPr>
        <w:t xml:space="preserve">Пример 3. Программа, 5 класс, математика</w:t>
      </w:r>
    </w:p>
    <w:p>
      <w:pPr>
        <w:widowControl/>
        <w:numPr>
          <w:ilvl w:val="0"/>
          <w:numId w:val="1006"/>
        </w:numPr>
        <w:pStyle w:val="Compact"/>
        <w:jc w:val="left"/>
      </w:pPr>
      <w:r>
        <w:rPr>
          <w:iCs/>
          <w:i/>
        </w:rPr>
        <w:t xml:space="preserve">Показатель.</w:t>
      </w:r>
      <w:r>
        <w:t xml:space="preserve"> </w:t>
      </w:r>
      <w:r>
        <w:t xml:space="preserve">К 23.10.2026 по графику 40 уроков, проведено 38; два занятия по теме «Действия с натуральными числами в текстовых задачах» не состоялись из-за отсутствия педагога (журнал замен).</w:t>
      </w:r>
    </w:p>
    <w:p>
      <w:pPr>
        <w:widowControl/>
        <w:numPr>
          <w:ilvl w:val="0"/>
          <w:numId w:val="1006"/>
        </w:numPr>
        <w:pStyle w:val="Compact"/>
        <w:jc w:val="left"/>
      </w:pPr>
      <w:r>
        <w:rPr>
          <w:iCs/>
          <w:i/>
        </w:rPr>
        <w:t xml:space="preserve">Вывод.</w:t>
      </w:r>
      <w:r>
        <w:t xml:space="preserve"> </w:t>
      </w:r>
      <w:r>
        <w:t xml:space="preserve">Отклонение подтверждено по одному предмету в одном классе. Выводов о других классах справка не делает.</w:t>
      </w:r>
    </w:p>
    <w:p>
      <w:pPr>
        <w:widowControl/>
        <w:numPr>
          <w:ilvl w:val="0"/>
          <w:numId w:val="1006"/>
        </w:numPr>
        <w:pStyle w:val="Compact"/>
        <w:jc w:val="left"/>
      </w:pPr>
      <w:r>
        <w:rPr>
          <w:iCs/>
          <w:i/>
        </w:rPr>
        <w:t xml:space="preserve">Действие.</w:t>
      </w:r>
      <w:r>
        <w:t xml:space="preserve"> </w:t>
      </w:r>
      <w:r>
        <w:t xml:space="preserve">До 05.11.2026 учитель и заместитель директора определяют допустимую корректировку последовательности занятий и замещение по действующему расписанию без превышения установленной нагрузки. Если тему нельзя завершить без дополнительных часов, до 06.11.2026 вопрос выносится директору, и в его решении назначается срок завершения темы.</w:t>
      </w:r>
    </w:p>
    <w:p>
      <w:pPr>
        <w:widowControl/>
        <w:numPr>
          <w:ilvl w:val="0"/>
          <w:numId w:val="1006"/>
        </w:numPr>
        <w:pStyle w:val="Compact"/>
        <w:jc w:val="left"/>
      </w:pPr>
      <w:r>
        <w:rPr>
          <w:iCs/>
          <w:i/>
        </w:rPr>
        <w:t xml:space="preserve">Проверка.</w:t>
      </w:r>
      <w:r>
        <w:t xml:space="preserve"> </w:t>
      </w:r>
      <w:r>
        <w:t xml:space="preserve">До 20.11.2026 по журналу проведённых уроков и обычным заданиям по этим темам.</w:t>
      </w:r>
    </w:p>
    <w:bookmarkEnd w:id="34"/>
    <w:bookmarkStart w:id="35" w:name="X958063f765a672d267f1aa6d2a21873cf7e1d0b"/>
    <w:p>
      <w:pPr>
        <w:pStyle w:val="Heading2"/>
        <w:widowControl/>
      </w:pPr>
      <w:r>
        <w:t xml:space="preserve">8. Язык, данные, хранение</w:t>
      </w:r>
    </w:p>
    <w:p>
      <w:pPr>
        <w:pStyle w:val="FirstParagraph"/>
        <w:widowControl/>
      </w:pPr>
      <w:r>
        <w:rPr>
          <w:bCs/>
          <w:b/>
        </w:rPr>
        <w:t xml:space="preserve">Язык.</w:t>
      </w:r>
      <w:r>
        <w:t xml:space="preserve"> </w:t>
      </w:r>
      <w:r>
        <w:t xml:space="preserve">Не называйте обучающихся «неуспевающими»: это не свойство ребёнка. Пишите «обучающийся с четвертной «2» по алгебре». Не обещайте повысить отметку, не предлагайте домашних рейдов и не ставьте психологических диагнозов.</w:t>
      </w:r>
    </w:p>
    <w:p>
      <w:pPr>
        <w:pStyle w:val="BodyText"/>
        <w:widowControl/>
      </w:pPr>
      <w:r>
        <w:rPr>
          <w:bCs/>
          <w:b/>
        </w:rPr>
        <w:t xml:space="preserve">Какие данные не нужны.</w:t>
      </w:r>
      <w:r>
        <w:t xml:space="preserve"> </w:t>
      </w:r>
      <w:r>
        <w:t xml:space="preserve">В общую справку не включают ФИО обучающихся, диагнозы, сведения о здоровье и семье, результаты психологических диагностик. Для анализа результатов они не нужны, а обрабатывать допустимо только данные, соответствующие цели, без избыточности (ст. 5 Федерального закона № 152-ФЗ). Воспитательные мероприятия, социально-психологическое тестирование и кадровую статистику в эту справку не переносят: существенный для выводов факт идёт в разделы 5–6, остальное ведётся в своих документах.</w:t>
      </w:r>
    </w:p>
    <w:p>
      <w:pPr>
        <w:pStyle w:val="BodyText"/>
        <w:widowControl/>
      </w:pPr>
      <w:r>
        <w:rPr>
          <w:bCs/>
          <w:b/>
        </w:rPr>
        <w:t xml:space="preserve">Где хранить.</w:t>
      </w:r>
      <w:r>
        <w:t xml:space="preserve"> </w:t>
      </w:r>
      <w:r>
        <w:t xml:space="preserve">Саму справку — в деле по номенклатуре вашей школы. Срок хранения возьмите из принятого у вас перечня; здесь он не называется. Именные списки и записи о помощи остаются в защищённой системе: электронном журнале или закрытой записи учителя. В справку их не копируют.</w:t>
      </w:r>
    </w:p>
    <w:p>
      <w:pPr>
        <w:pStyle w:val="BodyText"/>
        <w:widowControl/>
      </w:pPr>
      <w:r>
        <w:rPr>
          <w:bCs/>
          <w:b/>
        </w:rPr>
        <w:t xml:space="preserve">Кто видит.</w:t>
      </w:r>
      <w:r>
        <w:t xml:space="preserve"> </w:t>
      </w:r>
      <w:r>
        <w:t xml:space="preserve">Справка внутренняя: её адресуют директору, заместителям и руководителям методических объединений. Именные записи о помощи видят учитель класса и предмета и лица, которым они нужны по должности. Раскрытие третьим лицам и распространение требуют правового основания (ст. 7 Федерального закона № 152-ФЗ). Если справку или её часть публикуют, уберите именные сведения и узнаваемые случаи: в классе из 25 человек описание «один обучающийся 5 класса после длительного отсутствия» уже узнаваемо. Код вместо фамилии обезличиванием не считается, пока список с кодами можно сопоставить с фамилиями.</w:t>
      </w:r>
    </w:p>
    <w:p>
      <w:pPr>
        <w:pStyle w:val="BodyText"/>
        <w:widowControl/>
        <w:keepNext w:val="true"/>
        <w:keepLines w:val="true"/>
      </w:pPr>
      <w:r>
        <w:rPr>
          <w:bCs/>
          <w:b/>
        </w:rPr>
        <w:t xml:space="preserve">Запасная карточка помощи.</w:t>
      </w:r>
      <w:r>
        <w:t xml:space="preserve"> </w:t>
      </w:r>
      <w:r>
        <w:t xml:space="preserve">Если запись о помощи уже ведётся в защищённом журнале, достаточно её: новую форму не заводите. Если подходящей формы нет, используйте небольшую карточку. Она хранится у учителя в закрытой записи и в справку не входит.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5018"/>
        <w:gridCol w:w="4336"/>
      </w:tblGrid>
      <w:tr>
        <w:trPr>
          <w:tblHeader w:val="true"/>
          <w:tblHeader w:val="true"/>
          <w:cantSplit/>
        </w:trPr>
        <w:tc>
          <w:tcPr>
            <w:tcW w:type="dxa" w:w="50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Поле</w:t>
            </w:r>
          </w:p>
        </w:tc>
        <w:tc>
          <w:tcPr>
            <w:tcW w:type="dxa" w:w="433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Запись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Класс</w:t>
            </w:r>
          </w:p>
        </w:tc>
        <w:tc>
          <w:tcPr>
            <w:tcW w:type="dxa" w:w="4336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Обучающийся (по вашему списку)</w:t>
            </w:r>
          </w:p>
        </w:tc>
        <w:tc>
          <w:tcPr>
            <w:tcW w:type="dxa" w:w="4336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Предмет и умение</w:t>
            </w:r>
          </w:p>
        </w:tc>
        <w:tc>
          <w:tcPr>
            <w:tcW w:type="dxa" w:w="4336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делаем</w:t>
            </w:r>
          </w:p>
        </w:tc>
        <w:tc>
          <w:tcPr>
            <w:tcW w:type="dxa" w:w="4336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Срок проверки</w:t>
            </w:r>
          </w:p>
        </w:tc>
        <w:tc>
          <w:tcPr>
            <w:tcW w:type="dxa" w:w="4336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  <w:tr>
        <w:trPr>
          <w:cantSplit/>
        </w:trPr>
        <w:tc>
          <w:tcPr>
            <w:tcW w:type="dxa" w:w="50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Результат проверки</w:t>
            </w:r>
          </w:p>
        </w:tc>
        <w:tc>
          <w:tcPr>
            <w:tcW w:type="dxa" w:w="433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</w:p>
        </w:tc>
      </w:tr>
    </w:tbl>
    <w:p>
      <w:pPr>
        <w:pStyle w:val="BodyText"/>
        <w:widowControl/>
      </w:pPr>
      <w:r>
        <w:rPr>
          <w:bCs/>
          <w:b/>
        </w:rPr>
        <w:t xml:space="preserve">Оформление.</w:t>
      </w:r>
      <w:r>
        <w:t xml:space="preserve"> </w:t>
      </w:r>
      <w:r>
        <w:t xml:space="preserve">Шаблон ориентирован на ГОСТ Р 7.0.97-2025 (приказ Росстандарта от 26.06.2025 № 622-ст, введён 18.08.2025). Национальный стандарт применяется добровольно, если ваш локальный акт не закрепил его обязательность. Если в инструкции по делопроизводству школы установлены иные требования, приведите справку в соответствие с ней.</w:t>
      </w:r>
    </w:p>
    <w:bookmarkEnd w:id="35"/>
    <w:bookmarkStart w:id="43" w:name="нормативные-основания"/>
    <w:p>
      <w:pPr>
        <w:pStyle w:val="Heading2"/>
        <w:widowControl/>
      </w:pPr>
      <w:r>
        <w:t xml:space="preserve">Нормативные основания</w:t>
      </w:r>
    </w:p>
    <w:p>
      <w:pPr>
        <w:pStyle w:val="FirstParagraph"/>
        <w:widowControl/>
      </w:pPr>
      <w:r>
        <w:t xml:space="preserve">Проверено 30.10.2026. К моменту использования проверьте, не менялись ли нормы.</w:t>
      </w:r>
    </w:p>
    <w:p>
      <w:pPr>
        <w:widowControl/>
        <w:numPr>
          <w:ilvl w:val="0"/>
          <w:numId w:val="1007"/>
        </w:numPr>
        <w:pStyle w:val="Compact"/>
        <w:jc w:val="left"/>
      </w:pPr>
      <w:r>
        <w:t xml:space="preserve">Федеральный закон от 29.12.2012 № 273-ФЗ «Об образовании в Российской Федерации», ст. 28 (ч. 3, п. 10, 11, 13) и ст. 58 (ч. 1–2):</w:t>
      </w:r>
      <w:r>
        <w:t xml:space="preserve"> </w:t>
      </w:r>
      <w:hyperlink r:id="rId36">
        <w:r>
          <w:rPr>
            <w:rStyle w:val="Hyperlink"/>
          </w:rPr>
          <w:t xml:space="preserve">ст. 28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ст. 58</w:t>
        </w:r>
      </w:hyperlink>
      <w:r>
        <w:t xml:space="preserve">;</w:t>
      </w:r>
      <w:r>
        <w:t xml:space="preserve"> </w:t>
      </w:r>
      <w:hyperlink r:id="rId38">
        <w:r>
          <w:rPr>
            <w:rStyle w:val="Hyperlink"/>
          </w:rPr>
          <w:t xml:space="preserve">ст. 28 в системе «Гарант»</w:t>
        </w:r>
      </w:hyperlink>
      <w:r>
        <w:t xml:space="preserve">.</w:t>
      </w:r>
    </w:p>
    <w:p>
      <w:pPr>
        <w:widowControl/>
        <w:numPr>
          <w:ilvl w:val="0"/>
          <w:numId w:val="1007"/>
        </w:numPr>
        <w:pStyle w:val="Compact"/>
        <w:jc w:val="left"/>
      </w:pPr>
      <w:r>
        <w:t xml:space="preserve">Федеральный закон от 27.07.2006 № 152-ФЗ «О персональных данных», ст. 5 (ч. 2, 4–6) и ст. 7:</w:t>
      </w:r>
      <w:r>
        <w:t xml:space="preserve"> </w:t>
      </w:r>
      <w:hyperlink r:id="rId39">
        <w:r>
          <w:rPr>
            <w:rStyle w:val="Hyperlink"/>
          </w:rPr>
          <w:t xml:space="preserve">ст. 5</w:t>
        </w:r>
      </w:hyperlink>
      <w:r>
        <w:t xml:space="preserve">,</w:t>
      </w:r>
      <w:r>
        <w:t xml:space="preserve"> </w:t>
      </w:r>
      <w:hyperlink r:id="rId40">
        <w:r>
          <w:rPr>
            <w:rStyle w:val="Hyperlink"/>
          </w:rPr>
          <w:t xml:space="preserve">ст. 7</w:t>
        </w:r>
      </w:hyperlink>
      <w:r>
        <w:t xml:space="preserve">; текст закона также на</w:t>
      </w:r>
      <w:r>
        <w:t xml:space="preserve"> </w:t>
      </w:r>
      <w:hyperlink r:id="rId41">
        <w:r>
          <w:rPr>
            <w:rStyle w:val="Hyperlink"/>
          </w:rPr>
          <w:t xml:space="preserve">сайте Минтруда</w:t>
        </w:r>
      </w:hyperlink>
      <w:r>
        <w:t xml:space="preserve">.</w:t>
      </w:r>
    </w:p>
    <w:p>
      <w:pPr>
        <w:widowControl/>
        <w:numPr>
          <w:ilvl w:val="0"/>
          <w:numId w:val="1007"/>
        </w:numPr>
        <w:pStyle w:val="Compact"/>
        <w:jc w:val="left"/>
      </w:pPr>
      <w:r>
        <w:t xml:space="preserve">ГОСТ Р 7.0.97-2025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документов»:</w:t>
      </w:r>
      <w:r>
        <w:t xml:space="preserve"> </w:t>
      </w:r>
      <w:hyperlink r:id="rId42">
        <w:r>
          <w:rPr>
            <w:rStyle w:val="Hyperlink"/>
          </w:rPr>
          <w:t xml:space="preserve">карточка в фонде стандартов</w:t>
        </w:r>
      </w:hyperlink>
      <w:r>
        <w:t xml:space="preserve">.</w:t>
      </w:r>
    </w:p>
    <w:bookmarkEnd w:id="43"/>
    <w:bookmarkEnd w:id="44"/>
    <w:sectPr>
      <w:headerReference w:type="default" r:id="rId9"/>
      <w:headerReference w:type="first" r:id="rId10"/>
      <w:pgSz w:w="11906" w:h="16838"/>
      <w:pgMar w:left="1701" w:right="850" w:top="1134" w:bottom="1134" w:header="567" w:foot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  <w:r>
      <w:rPr>
        <w:rFonts w:ascii="Liberation Serif" w:hAnsi="Liberation Serif"/>
        <w:sz w:val="24"/>
      </w:rPr>
    </w: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BodyText" w:type="paragraph">
    <w:name w:val="Body Text"/>
    <w:basedOn w:val="Normal"/>
    <w:link w:val="BodyTextChar"/>
    <w:pPr>
      <w:widowControl/>
      <w:spacing w:after="120" w:before="0" w:line="276" w:lineRule="auto"/>
      <w:ind w:firstLine="709"/>
      <w:jc w:val="both"/>
    </w:pPr>
    <w:qFormat/>
    <w:rPr>
      <w:rFonts w:ascii="Liberation Serif" w:hAnsi="Liberation Serif" w:eastAsia="Liberation Serif" w:cs="Liberation Serif"/>
      <w:sz w:val="28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customStyle="1" w:styleId="Compact" w:type="paragraph">
    <w:name w:val="Compact"/>
    <w:basedOn w:val="BodyText"/>
    <w:qFormat/>
    <w:pPr>
      <w:widowControl/>
      <w:spacing w:after="120" w:before="0" w:line="276" w:lineRule="auto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264" w:lineRule="auto"/>
      <w:ind w:firstLine="709" w:left="0"/>
      <w:jc w:val="left"/>
      <w:outlineLvl w:val="0"/>
    </w:pPr>
    <w:rPr>
      <w:rFonts w:cstheme="majorBidi" w:ascii="Liberation Serif" w:hAnsi="Liberation Serif" w:eastAsia="Liberation Serif" w:cs="Liberation Serif"/>
      <w:b/>
      <w:bCs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1"/>
    </w:pPr>
    <w:rPr>
      <w:rFonts w:cstheme="majorBidi" w:ascii="Liberation Serif" w:hAnsi="Liberation Serif" w:eastAsia="Liberation Serif" w:cs="Liberation Serif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2"/>
    </w:pPr>
    <w:rPr>
      <w:rFonts w:cstheme="majorBidi" w:ascii="Liberation Serif" w:hAnsi="Liberation Serif" w:eastAsia="Liberation Serif" w:cs="Liberation Serif"/>
      <w:b/>
      <w:bCs/>
      <w:sz w:val="28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3"/>
    </w:pPr>
    <w:rPr>
      <w:rFonts w:cstheme="majorBidi" w:ascii="Liberation Serif" w:hAnsi="Liberation Serif" w:eastAsia="Liberation Serif" w:cs="Liberation Serif"/>
      <w:i/>
      <w:b/>
      <w:bCs/>
      <w:sz w:val="28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hyperlink" Target="https://base.garant.ru/70291362/53070549816cbd8f006da724de818c2e/" TargetMode="External"/><Relationship Id="rId41" Type="http://schemas.openxmlformats.org/officeDocument/2006/relationships/hyperlink" Target="https://mintrud.gov.ru/docs/laws/130" TargetMode="External"/><Relationship Id="rId42" Type="http://schemas.openxmlformats.org/officeDocument/2006/relationships/hyperlink" Target="https://protect.gost.ru/gost/details/360994e3-9a70-47b9-ab3a-cf21809e26ed" TargetMode="External"/><Relationship Id="rId36" Type="http://schemas.openxmlformats.org/officeDocument/2006/relationships/hyperlink" Target="https://www.consultant.ru/document/cons_doc_LAW_140174/552097cad5942f36c9484dbde7ebf92db1f783f3/" TargetMode="External"/><Relationship Id="rId37" Type="http://schemas.openxmlformats.org/officeDocument/2006/relationships/hyperlink" Target="https://www.consultant.ru/document/cons_doc_LAW_140174/85124c9196d691bcb8ae879146b0a2b60abef3f9/" TargetMode="External"/><Relationship Id="rId39" Type="http://schemas.openxmlformats.org/officeDocument/2006/relationships/hyperlink" Target="https://www.consultant.ru/document/cons_doc_LAW_61801/96fbc469f91f57235cc842a85e0516a99f23dc85/" TargetMode="External"/><Relationship Id="rId40" Type="http://schemas.openxmlformats.org/officeDocument/2006/relationships/hyperlink" Target="https://www.consultant.ru/document/cons_doc_LAW_61801/a15bab6050028753706f22c32fe60627a7be79f9/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notes.xml.rels><?xml version='1.0' encoding='UTF-8' standalone='yes'?>
<Relationships xmlns="http://schemas.openxmlformats.org/package/2006/relationships"><Relationship Id="rId38" Type="http://schemas.openxmlformats.org/officeDocument/2006/relationships/hyperlink" Target="https://base.garant.ru/70291362/53070549816cbd8f006da724de818c2e/" TargetMode="External"/><Relationship Id="rId41" Type="http://schemas.openxmlformats.org/officeDocument/2006/relationships/hyperlink" Target="https://mintrud.gov.ru/docs/laws/130" TargetMode="External"/><Relationship Id="rId42" Type="http://schemas.openxmlformats.org/officeDocument/2006/relationships/hyperlink" Target="https://protect.gost.ru/gost/details/360994e3-9a70-47b9-ab3a-cf21809e26ed" TargetMode="External"/><Relationship Id="rId36" Type="http://schemas.openxmlformats.org/officeDocument/2006/relationships/hyperlink" Target="https://www.consultant.ru/document/cons_doc_LAW_140174/552097cad5942f36c9484dbde7ebf92db1f783f3/" TargetMode="External"/><Relationship Id="rId37" Type="http://schemas.openxmlformats.org/officeDocument/2006/relationships/hyperlink" Target="https://www.consultant.ru/document/cons_doc_LAW_140174/85124c9196d691bcb8ae879146b0a2b60abef3f9/" TargetMode="External"/><Relationship Id="rId39" Type="http://schemas.openxmlformats.org/officeDocument/2006/relationships/hyperlink" Target="https://www.consultant.ru/document/cons_doc_LAW_61801/96fbc469f91f57235cc842a85e0516a99f23dc85/" TargetMode="External"/><Relationship Id="rId40" Type="http://schemas.openxmlformats.org/officeDocument/2006/relationships/hyperlink" Target="https://www.consultant.ru/document/cons_doc_LAW_61801/a15bab6050028753706f22c32fe60627a7be79f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Документы директора</dc:creator>
  <cp:keywords/>
  <dcterms:created xsi:type="dcterms:W3CDTF">2026-10-30T10:02:41Z</dcterms:created>
  <dcterms:modified xsi:type="dcterms:W3CDTF">2026-10-30T10:02:41Z</dcterms:modified>
  <cp:lastModifiedBy>Документы директора</cp:lastModifiedBy>
  <dc:description/>
  <dc:subject>Итоги четверти: анализ учебных результатов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